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宋体" w:eastAsia="方正小标宋简体"/>
          <w:sz w:val="72"/>
          <w:szCs w:val="72"/>
        </w:rPr>
      </w:pPr>
      <w:bookmarkStart w:id="0" w:name="_Toc15306267"/>
    </w:p>
    <w:p>
      <w:pPr>
        <w:spacing w:line="600" w:lineRule="exact"/>
        <w:jc w:val="center"/>
        <w:rPr>
          <w:rFonts w:ascii="方正小标宋简体" w:hAnsi="宋体" w:eastAsia="方正小标宋简体"/>
          <w:sz w:val="72"/>
          <w:szCs w:val="72"/>
        </w:rPr>
      </w:pPr>
    </w:p>
    <w:p>
      <w:pPr>
        <w:spacing w:line="600" w:lineRule="exact"/>
        <w:jc w:val="center"/>
        <w:rPr>
          <w:rFonts w:ascii="方正小标宋简体" w:hAnsi="宋体" w:eastAsia="方正小标宋简体"/>
          <w:sz w:val="72"/>
          <w:szCs w:val="72"/>
        </w:rPr>
      </w:pPr>
    </w:p>
    <w:p>
      <w:pPr>
        <w:spacing w:line="600" w:lineRule="exact"/>
        <w:jc w:val="center"/>
        <w:rPr>
          <w:rFonts w:ascii="方正小标宋简体" w:hAnsi="宋体" w:eastAsia="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15378441"/>
      <w:bookmarkStart w:id="2" w:name="_Toc15396597"/>
      <w:bookmarkStart w:id="3" w:name="_Toc15377425"/>
      <w:bookmarkStart w:id="4" w:name="_Toc16764"/>
      <w:bookmarkStart w:id="5" w:name="_Toc15377193"/>
      <w:bookmarkStart w:id="6" w:name="_Toc15396475"/>
      <w:r>
        <w:rPr>
          <w:rFonts w:hint="eastAsia" w:ascii="方正小标宋简体" w:hAnsi="方正小标宋简体" w:eastAsia="方正小标宋简体" w:cs="方正小标宋简体"/>
          <w:sz w:val="72"/>
          <w:szCs w:val="72"/>
        </w:rPr>
        <w:t>2021年度</w:t>
      </w:r>
      <w:bookmarkEnd w:id="1"/>
      <w:bookmarkEnd w:id="2"/>
      <w:bookmarkEnd w:id="3"/>
      <w:bookmarkEnd w:id="4"/>
      <w:bookmarkEnd w:id="5"/>
      <w:bookmarkEnd w:id="6"/>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7" w:name="_Toc11378"/>
      <w:bookmarkStart w:id="8" w:name="_Toc15396598"/>
      <w:bookmarkStart w:id="9" w:name="_Toc15378442"/>
      <w:bookmarkStart w:id="10" w:name="_Toc15396476"/>
      <w:bookmarkStart w:id="11" w:name="_Toc15377426"/>
      <w:bookmarkStart w:id="12" w:name="_Toc15377194"/>
      <w:r>
        <w:rPr>
          <w:rFonts w:hint="eastAsia" w:ascii="方正小标宋简体" w:hAnsi="方正小标宋简体" w:eastAsia="方正小标宋简体" w:cs="方正小标宋简体"/>
          <w:sz w:val="72"/>
          <w:szCs w:val="72"/>
        </w:rPr>
        <w:t>四川省</w:t>
      </w:r>
      <w:bookmarkEnd w:id="0"/>
      <w:bookmarkStart w:id="13" w:name="_Toc15306268"/>
      <w:r>
        <w:rPr>
          <w:rFonts w:hint="eastAsia" w:ascii="方正小标宋简体" w:hAnsi="方正小标宋简体" w:eastAsia="方正小标宋简体" w:cs="方正小标宋简体"/>
          <w:sz w:val="72"/>
          <w:szCs w:val="72"/>
        </w:rPr>
        <w:t>广播电视科学技术研究所单位决算</w:t>
      </w:r>
      <w:bookmarkEnd w:id="7"/>
      <w:bookmarkEnd w:id="8"/>
      <w:bookmarkEnd w:id="9"/>
      <w:bookmarkEnd w:id="10"/>
      <w:bookmarkEnd w:id="11"/>
      <w:bookmarkEnd w:id="12"/>
      <w:bookmarkEnd w:id="13"/>
    </w:p>
    <w:p>
      <w:pPr>
        <w:widowControl/>
        <w:jc w:val="center"/>
        <w:rPr>
          <w:rFonts w:ascii="黑体" w:hAnsi="黑体" w:eastAsia="黑体"/>
          <w:sz w:val="48"/>
          <w:szCs w:val="48"/>
        </w:rPr>
      </w:pPr>
      <w:r>
        <w:rPr>
          <w:rFonts w:ascii="方正小标宋简体" w:hAnsi="宋体" w:eastAsia="方正小标宋简体"/>
          <w:sz w:val="36"/>
          <w:szCs w:val="36"/>
        </w:rPr>
        <w:br w:type="page"/>
      </w:r>
      <w:r>
        <w:rPr>
          <w:rFonts w:hint="eastAsia" w:ascii="黑体" w:hAnsi="黑体" w:eastAsia="黑体"/>
          <w:sz w:val="48"/>
          <w:szCs w:val="48"/>
        </w:rPr>
        <w:t>目录</w:t>
      </w:r>
    </w:p>
    <w:p>
      <w:pPr>
        <w:widowControl/>
        <w:jc w:val="center"/>
        <w:rPr>
          <w:rFonts w:ascii="黑体" w:hAnsi="黑体" w:eastAsia="黑体" w:cstheme="minorBidi"/>
          <w:sz w:val="28"/>
          <w:szCs w:val="28"/>
        </w:rPr>
      </w:pPr>
      <w:bookmarkStart w:id="106" w:name="_GoBack"/>
      <w:bookmarkEnd w:id="106"/>
    </w:p>
    <w:p>
      <w:pPr>
        <w:pStyle w:val="11"/>
      </w:pPr>
      <w:r>
        <w:rPr>
          <w:rFonts w:hint="eastAsia"/>
        </w:rPr>
        <w:t>公开时间：2022年9月9日</w:t>
      </w:r>
    </w:p>
    <w:p/>
    <w:sdt>
      <w:sdtPr>
        <w:rPr>
          <w:rFonts w:ascii="宋体" w:hAnsi="宋体"/>
        </w:rPr>
        <w:id w:val="147482797"/>
        <w:docPartObj>
          <w:docPartGallery w:val="Table of Contents"/>
          <w:docPartUnique/>
        </w:docPartObj>
      </w:sdtPr>
      <w:sdtEndPr>
        <w:rPr>
          <w:rFonts w:ascii="宋体" w:hAnsi="宋体"/>
          <w:b/>
        </w:rPr>
      </w:sdtEndPr>
      <w:sdtContent>
        <w:p>
          <w:pPr>
            <w:jc w:val="center"/>
            <w:rPr>
              <w:b/>
            </w:rPr>
          </w:pPr>
          <w:r>
            <w:fldChar w:fldCharType="begin"/>
          </w:r>
          <w:r>
            <w:instrText xml:space="preserve">TOC \o "1-2" \h \u </w:instrText>
          </w:r>
          <w:r>
            <w:fldChar w:fldCharType="separate"/>
          </w:r>
        </w:p>
        <w:p>
          <w:pPr>
            <w:pStyle w:val="31"/>
            <w:tabs>
              <w:tab w:val="right" w:leader="dot" w:pos="8306"/>
            </w:tabs>
            <w:rPr>
              <w:rFonts w:ascii="仿宋" w:hAnsi="仿宋" w:eastAsia="仿宋" w:cs="Times New Roman"/>
              <w:kern w:val="2"/>
              <w:sz w:val="24"/>
              <w:szCs w:val="28"/>
            </w:rPr>
          </w:pPr>
          <w:r>
            <w:fldChar w:fldCharType="begin"/>
          </w:r>
          <w:r>
            <w:instrText xml:space="preserve"> HYPERLINK \l "_Toc8149" </w:instrText>
          </w:r>
          <w:r>
            <w:fldChar w:fldCharType="separate"/>
          </w:r>
          <w:r>
            <w:rPr>
              <w:rFonts w:hint="eastAsia" w:ascii="仿宋" w:hAnsi="仿宋" w:eastAsia="仿宋" w:cs="Times New Roman"/>
              <w:kern w:val="2"/>
              <w:sz w:val="24"/>
              <w:szCs w:val="28"/>
            </w:rPr>
            <w:t>第一部分 单位概况</w:t>
          </w:r>
          <w:r>
            <w:rPr>
              <w:rFonts w:hint="eastAsia" w:ascii="仿宋" w:hAnsi="仿宋" w:eastAsia="仿宋" w:cs="Times New Roman"/>
              <w:kern w:val="2"/>
              <w:sz w:val="24"/>
              <w:szCs w:val="28"/>
            </w:rPr>
            <w:tab/>
          </w:r>
          <w:r>
            <w:rPr>
              <w:rFonts w:hint="eastAsia" w:ascii="仿宋" w:hAnsi="仿宋" w:eastAsia="仿宋" w:cs="Times New Roman"/>
              <w:kern w:val="2"/>
              <w:sz w:val="24"/>
              <w:szCs w:val="28"/>
            </w:rPr>
            <w:fldChar w:fldCharType="begin"/>
          </w:r>
          <w:r>
            <w:rPr>
              <w:rFonts w:hint="eastAsia" w:ascii="仿宋" w:hAnsi="仿宋" w:eastAsia="仿宋" w:cs="Times New Roman"/>
              <w:kern w:val="2"/>
              <w:sz w:val="24"/>
              <w:szCs w:val="28"/>
            </w:rPr>
            <w:instrText xml:space="preserve"> PAGEREF _Toc8149 \h </w:instrText>
          </w:r>
          <w:r>
            <w:rPr>
              <w:rFonts w:hint="eastAsia" w:ascii="仿宋" w:hAnsi="仿宋" w:eastAsia="仿宋" w:cs="Times New Roman"/>
              <w:kern w:val="2"/>
              <w:sz w:val="24"/>
              <w:szCs w:val="28"/>
            </w:rPr>
            <w:fldChar w:fldCharType="separate"/>
          </w:r>
          <w:r>
            <w:rPr>
              <w:rFonts w:hint="eastAsia" w:ascii="仿宋" w:hAnsi="仿宋" w:eastAsia="仿宋" w:cs="Times New Roman"/>
              <w:kern w:val="2"/>
              <w:sz w:val="24"/>
              <w:szCs w:val="28"/>
            </w:rPr>
            <w:t>4</w:t>
          </w:r>
          <w:r>
            <w:rPr>
              <w:rFonts w:hint="eastAsia" w:ascii="仿宋" w:hAnsi="仿宋" w:eastAsia="仿宋" w:cs="Times New Roman"/>
              <w:kern w:val="2"/>
              <w:sz w:val="24"/>
              <w:szCs w:val="28"/>
            </w:rPr>
            <w:fldChar w:fldCharType="end"/>
          </w:r>
          <w:r>
            <w:rPr>
              <w:rFonts w:hint="eastAsia" w:ascii="仿宋" w:hAnsi="仿宋" w:eastAsia="仿宋" w:cs="Times New Roman"/>
              <w:kern w:val="2"/>
              <w:sz w:val="24"/>
              <w:szCs w:val="28"/>
            </w:rPr>
            <w:fldChar w:fldCharType="end"/>
          </w:r>
        </w:p>
        <w:p>
          <w:pPr>
            <w:pStyle w:val="12"/>
            <w:adjustRightInd w:val="0"/>
            <w:snapToGrid w:val="0"/>
            <w:spacing w:line="440" w:lineRule="exact"/>
            <w:jc w:val="left"/>
            <w:rPr>
              <w:sz w:val="24"/>
            </w:rPr>
          </w:pPr>
          <w:r>
            <w:fldChar w:fldCharType="begin"/>
          </w:r>
          <w:r>
            <w:instrText xml:space="preserve"> HYPERLINK \l "_Toc28620" </w:instrText>
          </w:r>
          <w:r>
            <w:fldChar w:fldCharType="separate"/>
          </w:r>
          <w:r>
            <w:rPr>
              <w:rFonts w:hint="eastAsia"/>
              <w:sz w:val="24"/>
            </w:rPr>
            <w:t>一、职能简介</w:t>
          </w:r>
          <w:r>
            <w:rPr>
              <w:rFonts w:hint="eastAsia"/>
              <w:sz w:val="24"/>
            </w:rPr>
            <w:tab/>
          </w:r>
          <w:r>
            <w:rPr>
              <w:rFonts w:hint="eastAsia"/>
              <w:sz w:val="24"/>
            </w:rPr>
            <w:fldChar w:fldCharType="begin"/>
          </w:r>
          <w:r>
            <w:rPr>
              <w:rFonts w:hint="eastAsia"/>
              <w:sz w:val="24"/>
            </w:rPr>
            <w:instrText xml:space="preserve"> PAGEREF _Toc28620 \h </w:instrText>
          </w:r>
          <w:r>
            <w:rPr>
              <w:rFonts w:hint="eastAsia"/>
              <w:sz w:val="24"/>
            </w:rPr>
            <w:fldChar w:fldCharType="separate"/>
          </w:r>
          <w:r>
            <w:rPr>
              <w:rFonts w:hint="eastAsia"/>
              <w:sz w:val="24"/>
            </w:rPr>
            <w:t>4</w:t>
          </w:r>
          <w:r>
            <w:rPr>
              <w:rFonts w:hint="eastAsia"/>
              <w:sz w:val="24"/>
            </w:rPr>
            <w:fldChar w:fldCharType="end"/>
          </w:r>
          <w:r>
            <w:rPr>
              <w:rFonts w:hint="eastAsia"/>
              <w:sz w:val="24"/>
            </w:rPr>
            <w:fldChar w:fldCharType="end"/>
          </w:r>
        </w:p>
        <w:p>
          <w:pPr>
            <w:pStyle w:val="12"/>
            <w:adjustRightInd w:val="0"/>
            <w:snapToGrid w:val="0"/>
            <w:spacing w:line="440" w:lineRule="exact"/>
            <w:jc w:val="left"/>
            <w:rPr>
              <w:rFonts w:hint="eastAsia"/>
              <w:sz w:val="24"/>
            </w:rPr>
          </w:pPr>
          <w:r>
            <w:fldChar w:fldCharType="begin"/>
          </w:r>
          <w:r>
            <w:instrText xml:space="preserve"> HYPERLINK \l "_Toc27826" </w:instrText>
          </w:r>
          <w:r>
            <w:fldChar w:fldCharType="separate"/>
          </w:r>
          <w:r>
            <w:rPr>
              <w:rFonts w:hint="eastAsia"/>
              <w:sz w:val="24"/>
            </w:rPr>
            <w:t>二、2021年重点工作完成情况</w:t>
          </w:r>
          <w:r>
            <w:rPr>
              <w:rFonts w:hint="eastAsia"/>
              <w:sz w:val="24"/>
            </w:rPr>
            <w:tab/>
          </w:r>
          <w:r>
            <w:rPr>
              <w:rFonts w:hint="eastAsia"/>
              <w:sz w:val="24"/>
            </w:rPr>
            <w:fldChar w:fldCharType="begin"/>
          </w:r>
          <w:r>
            <w:rPr>
              <w:rFonts w:hint="eastAsia"/>
              <w:sz w:val="24"/>
            </w:rPr>
            <w:instrText xml:space="preserve"> PAGEREF _Toc27826 \h </w:instrText>
          </w:r>
          <w:r>
            <w:rPr>
              <w:rFonts w:hint="eastAsia"/>
              <w:sz w:val="24"/>
            </w:rPr>
            <w:fldChar w:fldCharType="separate"/>
          </w:r>
          <w:r>
            <w:rPr>
              <w:rFonts w:hint="eastAsia"/>
              <w:sz w:val="24"/>
            </w:rPr>
            <w:t>4</w:t>
          </w:r>
          <w:r>
            <w:rPr>
              <w:rFonts w:hint="eastAsia"/>
              <w:sz w:val="24"/>
            </w:rPr>
            <w:fldChar w:fldCharType="end"/>
          </w:r>
          <w:r>
            <w:rPr>
              <w:rFonts w:hint="eastAsia"/>
              <w:sz w:val="24"/>
            </w:rPr>
            <w:fldChar w:fldCharType="end"/>
          </w:r>
        </w:p>
        <w:p>
          <w:pPr>
            <w:pStyle w:val="12"/>
            <w:adjustRightInd w:val="0"/>
            <w:snapToGrid w:val="0"/>
            <w:spacing w:line="440" w:lineRule="exact"/>
            <w:jc w:val="left"/>
            <w:rPr>
              <w:rFonts w:hint="eastAsia" w:eastAsia="宋体"/>
              <w:lang w:val="en-US" w:eastAsia="zh-CN"/>
            </w:rPr>
          </w:pPr>
          <w:r>
            <w:rPr>
              <w:rFonts w:hint="eastAsia"/>
              <w:sz w:val="24"/>
              <w:lang w:val="en-US" w:eastAsia="zh-CN"/>
            </w:rPr>
            <w:t>三、机构设置情况</w:t>
          </w:r>
          <w:r>
            <w:rPr>
              <w:rFonts w:hint="eastAsia"/>
              <w:sz w:val="24"/>
            </w:rPr>
            <w:tab/>
          </w:r>
          <w:r>
            <w:rPr>
              <w:rFonts w:hint="eastAsia"/>
              <w:sz w:val="24"/>
              <w:lang w:val="en-US" w:eastAsia="zh-CN"/>
            </w:rPr>
            <w:t>5</w:t>
          </w:r>
        </w:p>
        <w:p>
          <w:pPr>
            <w:pStyle w:val="31"/>
            <w:tabs>
              <w:tab w:val="right" w:leader="dot" w:pos="8306"/>
            </w:tabs>
            <w:spacing w:line="440" w:lineRule="exact"/>
            <w:rPr>
              <w:rFonts w:ascii="仿宋" w:hAnsi="仿宋" w:eastAsia="仿宋" w:cs="Times New Roman"/>
              <w:kern w:val="2"/>
              <w:sz w:val="24"/>
              <w:szCs w:val="28"/>
            </w:rPr>
          </w:pPr>
          <w:r>
            <w:fldChar w:fldCharType="begin"/>
          </w:r>
          <w:r>
            <w:instrText xml:space="preserve"> HYPERLINK \l "_Toc11786" </w:instrText>
          </w:r>
          <w:r>
            <w:fldChar w:fldCharType="separate"/>
          </w:r>
          <w:r>
            <w:rPr>
              <w:rFonts w:hint="eastAsia" w:ascii="仿宋" w:hAnsi="仿宋" w:eastAsia="仿宋" w:cs="Times New Roman"/>
              <w:kern w:val="2"/>
              <w:sz w:val="24"/>
              <w:szCs w:val="28"/>
            </w:rPr>
            <w:t>第二部分 2021年度单位决算情况说明</w:t>
          </w:r>
          <w:r>
            <w:rPr>
              <w:rFonts w:hint="eastAsia" w:ascii="仿宋" w:hAnsi="仿宋" w:eastAsia="仿宋" w:cs="Times New Roman"/>
              <w:kern w:val="2"/>
              <w:sz w:val="24"/>
              <w:szCs w:val="28"/>
            </w:rPr>
            <w:tab/>
          </w:r>
          <w:r>
            <w:rPr>
              <w:rFonts w:hint="eastAsia" w:ascii="仿宋" w:hAnsi="仿宋" w:eastAsia="仿宋" w:cs="Times New Roman"/>
              <w:kern w:val="2"/>
              <w:sz w:val="24"/>
              <w:szCs w:val="28"/>
            </w:rPr>
            <w:fldChar w:fldCharType="begin"/>
          </w:r>
          <w:r>
            <w:rPr>
              <w:rFonts w:hint="eastAsia" w:ascii="仿宋" w:hAnsi="仿宋" w:eastAsia="仿宋" w:cs="Times New Roman"/>
              <w:kern w:val="2"/>
              <w:sz w:val="24"/>
              <w:szCs w:val="28"/>
            </w:rPr>
            <w:instrText xml:space="preserve"> PAGEREF _Toc11786 \h </w:instrText>
          </w:r>
          <w:r>
            <w:rPr>
              <w:rFonts w:hint="eastAsia" w:ascii="仿宋" w:hAnsi="仿宋" w:eastAsia="仿宋" w:cs="Times New Roman"/>
              <w:kern w:val="2"/>
              <w:sz w:val="24"/>
              <w:szCs w:val="28"/>
            </w:rPr>
            <w:fldChar w:fldCharType="separate"/>
          </w:r>
          <w:r>
            <w:rPr>
              <w:rFonts w:hint="eastAsia" w:ascii="仿宋" w:hAnsi="仿宋" w:eastAsia="仿宋" w:cs="Times New Roman"/>
              <w:kern w:val="2"/>
              <w:sz w:val="24"/>
              <w:szCs w:val="28"/>
            </w:rPr>
            <w:t>6</w:t>
          </w:r>
          <w:r>
            <w:rPr>
              <w:rFonts w:hint="eastAsia" w:ascii="仿宋" w:hAnsi="仿宋" w:eastAsia="仿宋" w:cs="Times New Roman"/>
              <w:kern w:val="2"/>
              <w:sz w:val="24"/>
              <w:szCs w:val="28"/>
            </w:rPr>
            <w:fldChar w:fldCharType="end"/>
          </w:r>
          <w:r>
            <w:rPr>
              <w:rFonts w:hint="eastAsia" w:ascii="仿宋" w:hAnsi="仿宋" w:eastAsia="仿宋" w:cs="Times New Roman"/>
              <w:kern w:val="2"/>
              <w:sz w:val="24"/>
              <w:szCs w:val="28"/>
            </w:rPr>
            <w:fldChar w:fldCharType="end"/>
          </w:r>
        </w:p>
        <w:p>
          <w:pPr>
            <w:pStyle w:val="12"/>
            <w:adjustRightInd w:val="0"/>
            <w:snapToGrid w:val="0"/>
            <w:spacing w:line="440" w:lineRule="exact"/>
            <w:jc w:val="left"/>
            <w:rPr>
              <w:sz w:val="24"/>
            </w:rPr>
          </w:pPr>
          <w:r>
            <w:fldChar w:fldCharType="begin"/>
          </w:r>
          <w:r>
            <w:instrText xml:space="preserve"> HYPERLINK \l "_Toc1685" </w:instrText>
          </w:r>
          <w:r>
            <w:fldChar w:fldCharType="separate"/>
          </w:r>
          <w:r>
            <w:rPr>
              <w:sz w:val="24"/>
            </w:rPr>
            <w:t xml:space="preserve">一、 </w:t>
          </w:r>
          <w:r>
            <w:rPr>
              <w:rFonts w:hint="eastAsia"/>
              <w:sz w:val="24"/>
            </w:rPr>
            <w:t>收入支出决算总体情况说明</w:t>
          </w:r>
          <w:r>
            <w:rPr>
              <w:rFonts w:hint="eastAsia"/>
              <w:sz w:val="24"/>
            </w:rPr>
            <w:tab/>
          </w:r>
          <w:r>
            <w:rPr>
              <w:rFonts w:hint="eastAsia"/>
              <w:sz w:val="24"/>
            </w:rPr>
            <w:fldChar w:fldCharType="begin"/>
          </w:r>
          <w:r>
            <w:rPr>
              <w:rFonts w:hint="eastAsia"/>
              <w:sz w:val="24"/>
            </w:rPr>
            <w:instrText xml:space="preserve"> PAGEREF _Toc1685 \h </w:instrText>
          </w:r>
          <w:r>
            <w:rPr>
              <w:rFonts w:hint="eastAsia"/>
              <w:sz w:val="24"/>
            </w:rPr>
            <w:fldChar w:fldCharType="separate"/>
          </w:r>
          <w:r>
            <w:rPr>
              <w:rFonts w:hint="eastAsia"/>
              <w:sz w:val="24"/>
            </w:rPr>
            <w:t>6</w:t>
          </w:r>
          <w:r>
            <w:rPr>
              <w:rFonts w:hint="eastAsia"/>
              <w:sz w:val="24"/>
            </w:rPr>
            <w:fldChar w:fldCharType="end"/>
          </w:r>
          <w:r>
            <w:rPr>
              <w:rFonts w:hint="eastAsia"/>
              <w:sz w:val="24"/>
            </w:rPr>
            <w:fldChar w:fldCharType="end"/>
          </w:r>
        </w:p>
        <w:p>
          <w:pPr>
            <w:pStyle w:val="12"/>
            <w:adjustRightInd w:val="0"/>
            <w:snapToGrid w:val="0"/>
            <w:spacing w:line="440" w:lineRule="exact"/>
            <w:jc w:val="left"/>
            <w:rPr>
              <w:sz w:val="24"/>
            </w:rPr>
          </w:pPr>
          <w:r>
            <w:fldChar w:fldCharType="begin"/>
          </w:r>
          <w:r>
            <w:instrText xml:space="preserve"> HYPERLINK \l "_Toc6441" </w:instrText>
          </w:r>
          <w:r>
            <w:fldChar w:fldCharType="separate"/>
          </w:r>
          <w:r>
            <w:rPr>
              <w:sz w:val="24"/>
            </w:rPr>
            <w:t xml:space="preserve">二、 </w:t>
          </w:r>
          <w:r>
            <w:rPr>
              <w:rFonts w:hint="eastAsia"/>
              <w:sz w:val="24"/>
            </w:rPr>
            <w:t>收入决算情况说明</w:t>
          </w:r>
          <w:r>
            <w:rPr>
              <w:rFonts w:hint="eastAsia"/>
              <w:sz w:val="24"/>
            </w:rPr>
            <w:tab/>
          </w:r>
          <w:r>
            <w:rPr>
              <w:rFonts w:hint="eastAsia"/>
              <w:sz w:val="24"/>
            </w:rPr>
            <w:fldChar w:fldCharType="begin"/>
          </w:r>
          <w:r>
            <w:rPr>
              <w:rFonts w:hint="eastAsia"/>
              <w:sz w:val="24"/>
            </w:rPr>
            <w:instrText xml:space="preserve"> PAGEREF _Toc6441 \h </w:instrText>
          </w:r>
          <w:r>
            <w:rPr>
              <w:rFonts w:hint="eastAsia"/>
              <w:sz w:val="24"/>
            </w:rPr>
            <w:fldChar w:fldCharType="separate"/>
          </w:r>
          <w:r>
            <w:rPr>
              <w:rFonts w:hint="eastAsia"/>
              <w:sz w:val="24"/>
            </w:rPr>
            <w:t>6</w:t>
          </w:r>
          <w:r>
            <w:rPr>
              <w:rFonts w:hint="eastAsia"/>
              <w:sz w:val="24"/>
            </w:rPr>
            <w:fldChar w:fldCharType="end"/>
          </w:r>
          <w:r>
            <w:rPr>
              <w:rFonts w:hint="eastAsia"/>
              <w:sz w:val="24"/>
            </w:rPr>
            <w:fldChar w:fldCharType="end"/>
          </w:r>
        </w:p>
        <w:p>
          <w:pPr>
            <w:pStyle w:val="12"/>
            <w:adjustRightInd w:val="0"/>
            <w:snapToGrid w:val="0"/>
            <w:spacing w:line="440" w:lineRule="exact"/>
            <w:jc w:val="left"/>
            <w:rPr>
              <w:sz w:val="24"/>
            </w:rPr>
          </w:pPr>
          <w:r>
            <w:fldChar w:fldCharType="begin"/>
          </w:r>
          <w:r>
            <w:instrText xml:space="preserve"> HYPERLINK \l "_Toc8720" </w:instrText>
          </w:r>
          <w:r>
            <w:fldChar w:fldCharType="separate"/>
          </w:r>
          <w:r>
            <w:rPr>
              <w:sz w:val="24"/>
            </w:rPr>
            <w:t xml:space="preserve">三、 </w:t>
          </w:r>
          <w:r>
            <w:rPr>
              <w:rFonts w:hint="eastAsia"/>
              <w:sz w:val="24"/>
            </w:rPr>
            <w:t>支出决算情况说明</w:t>
          </w:r>
          <w:r>
            <w:rPr>
              <w:rFonts w:hint="eastAsia"/>
              <w:sz w:val="24"/>
            </w:rPr>
            <w:tab/>
          </w:r>
          <w:r>
            <w:rPr>
              <w:rFonts w:hint="eastAsia"/>
              <w:sz w:val="24"/>
            </w:rPr>
            <w:fldChar w:fldCharType="begin"/>
          </w:r>
          <w:r>
            <w:rPr>
              <w:rFonts w:hint="eastAsia"/>
              <w:sz w:val="24"/>
            </w:rPr>
            <w:instrText xml:space="preserve"> PAGEREF _Toc8720 \h </w:instrText>
          </w:r>
          <w:r>
            <w:rPr>
              <w:rFonts w:hint="eastAsia"/>
              <w:sz w:val="24"/>
            </w:rPr>
            <w:fldChar w:fldCharType="separate"/>
          </w:r>
          <w:r>
            <w:rPr>
              <w:rFonts w:hint="eastAsia"/>
              <w:sz w:val="24"/>
            </w:rPr>
            <w:t>7</w:t>
          </w:r>
          <w:r>
            <w:rPr>
              <w:rFonts w:hint="eastAsia"/>
              <w:sz w:val="24"/>
            </w:rPr>
            <w:fldChar w:fldCharType="end"/>
          </w:r>
          <w:r>
            <w:rPr>
              <w:rFonts w:hint="eastAsia"/>
              <w:sz w:val="24"/>
            </w:rPr>
            <w:fldChar w:fldCharType="end"/>
          </w:r>
        </w:p>
        <w:p>
          <w:pPr>
            <w:pStyle w:val="12"/>
            <w:adjustRightInd w:val="0"/>
            <w:snapToGrid w:val="0"/>
            <w:spacing w:line="440" w:lineRule="exact"/>
            <w:jc w:val="left"/>
            <w:rPr>
              <w:sz w:val="24"/>
            </w:rPr>
          </w:pPr>
          <w:r>
            <w:fldChar w:fldCharType="begin"/>
          </w:r>
          <w:r>
            <w:instrText xml:space="preserve"> HYPERLINK \l "_Toc4539" </w:instrText>
          </w:r>
          <w:r>
            <w:fldChar w:fldCharType="separate"/>
          </w:r>
          <w:r>
            <w:rPr>
              <w:rFonts w:hint="eastAsia"/>
              <w:sz w:val="24"/>
            </w:rPr>
            <w:t>四、财政拨款收入支出决算总体情况说明</w:t>
          </w:r>
          <w:r>
            <w:rPr>
              <w:rFonts w:hint="eastAsia"/>
              <w:sz w:val="24"/>
            </w:rPr>
            <w:tab/>
          </w:r>
          <w:r>
            <w:rPr>
              <w:rFonts w:hint="eastAsia"/>
              <w:sz w:val="24"/>
            </w:rPr>
            <w:fldChar w:fldCharType="begin"/>
          </w:r>
          <w:r>
            <w:rPr>
              <w:rFonts w:hint="eastAsia"/>
              <w:sz w:val="24"/>
            </w:rPr>
            <w:instrText xml:space="preserve"> PAGEREF _Toc4539 \h </w:instrText>
          </w:r>
          <w:r>
            <w:rPr>
              <w:rFonts w:hint="eastAsia"/>
              <w:sz w:val="24"/>
            </w:rPr>
            <w:fldChar w:fldCharType="separate"/>
          </w:r>
          <w:r>
            <w:rPr>
              <w:rFonts w:hint="eastAsia"/>
              <w:sz w:val="24"/>
            </w:rPr>
            <w:t>7</w:t>
          </w:r>
          <w:r>
            <w:rPr>
              <w:rFonts w:hint="eastAsia"/>
              <w:sz w:val="24"/>
            </w:rPr>
            <w:fldChar w:fldCharType="end"/>
          </w:r>
          <w:r>
            <w:rPr>
              <w:rFonts w:hint="eastAsia"/>
              <w:sz w:val="24"/>
            </w:rPr>
            <w:fldChar w:fldCharType="end"/>
          </w:r>
        </w:p>
        <w:p>
          <w:pPr>
            <w:pStyle w:val="12"/>
            <w:adjustRightInd w:val="0"/>
            <w:snapToGrid w:val="0"/>
            <w:spacing w:line="440" w:lineRule="exact"/>
            <w:jc w:val="left"/>
            <w:rPr>
              <w:sz w:val="24"/>
            </w:rPr>
          </w:pPr>
          <w:r>
            <w:fldChar w:fldCharType="begin"/>
          </w:r>
          <w:r>
            <w:instrText xml:space="preserve"> HYPERLINK \l "_Toc26762" </w:instrText>
          </w:r>
          <w:r>
            <w:fldChar w:fldCharType="separate"/>
          </w:r>
          <w:r>
            <w:rPr>
              <w:rFonts w:hint="eastAsia"/>
              <w:sz w:val="24"/>
            </w:rPr>
            <w:t>五、一般公共预算财政拨款支出决算情况说明</w:t>
          </w:r>
          <w:r>
            <w:rPr>
              <w:rFonts w:hint="eastAsia"/>
              <w:sz w:val="24"/>
            </w:rPr>
            <w:tab/>
          </w:r>
          <w:r>
            <w:rPr>
              <w:rFonts w:hint="eastAsia"/>
              <w:sz w:val="24"/>
            </w:rPr>
            <w:fldChar w:fldCharType="begin"/>
          </w:r>
          <w:r>
            <w:rPr>
              <w:rFonts w:hint="eastAsia"/>
              <w:sz w:val="24"/>
            </w:rPr>
            <w:instrText xml:space="preserve"> PAGEREF _Toc26762 \h </w:instrText>
          </w:r>
          <w:r>
            <w:rPr>
              <w:rFonts w:hint="eastAsia"/>
              <w:sz w:val="24"/>
            </w:rPr>
            <w:fldChar w:fldCharType="separate"/>
          </w:r>
          <w:r>
            <w:rPr>
              <w:rFonts w:hint="eastAsia"/>
              <w:sz w:val="24"/>
            </w:rPr>
            <w:t>8</w:t>
          </w:r>
          <w:r>
            <w:rPr>
              <w:rFonts w:hint="eastAsia"/>
              <w:sz w:val="24"/>
            </w:rPr>
            <w:fldChar w:fldCharType="end"/>
          </w:r>
          <w:r>
            <w:rPr>
              <w:rFonts w:hint="eastAsia"/>
              <w:sz w:val="24"/>
            </w:rPr>
            <w:fldChar w:fldCharType="end"/>
          </w:r>
        </w:p>
        <w:p>
          <w:pPr>
            <w:pStyle w:val="12"/>
            <w:adjustRightInd w:val="0"/>
            <w:snapToGrid w:val="0"/>
            <w:spacing w:line="440" w:lineRule="exact"/>
            <w:jc w:val="left"/>
            <w:rPr>
              <w:sz w:val="24"/>
            </w:rPr>
          </w:pPr>
          <w:r>
            <w:fldChar w:fldCharType="begin"/>
          </w:r>
          <w:r>
            <w:instrText xml:space="preserve"> HYPERLINK \l "_Toc12916" </w:instrText>
          </w:r>
          <w:r>
            <w:fldChar w:fldCharType="separate"/>
          </w:r>
          <w:r>
            <w:rPr>
              <w:rFonts w:hint="eastAsia"/>
              <w:sz w:val="24"/>
            </w:rPr>
            <w:t>六、一般公共预算财政拨款基本支出决算情况说明</w:t>
          </w:r>
          <w:r>
            <w:rPr>
              <w:rFonts w:hint="eastAsia"/>
              <w:sz w:val="24"/>
            </w:rPr>
            <w:tab/>
          </w:r>
          <w:r>
            <w:rPr>
              <w:rFonts w:hint="eastAsia"/>
              <w:sz w:val="24"/>
            </w:rPr>
            <w:fldChar w:fldCharType="begin"/>
          </w:r>
          <w:r>
            <w:rPr>
              <w:rFonts w:hint="eastAsia"/>
              <w:sz w:val="24"/>
            </w:rPr>
            <w:instrText xml:space="preserve"> PAGEREF _Toc12916 \h </w:instrText>
          </w:r>
          <w:r>
            <w:rPr>
              <w:rFonts w:hint="eastAsia"/>
              <w:sz w:val="24"/>
            </w:rPr>
            <w:fldChar w:fldCharType="separate"/>
          </w:r>
          <w:r>
            <w:rPr>
              <w:rFonts w:hint="eastAsia"/>
              <w:sz w:val="24"/>
            </w:rPr>
            <w:t>11</w:t>
          </w:r>
          <w:r>
            <w:rPr>
              <w:rFonts w:hint="eastAsia"/>
              <w:sz w:val="24"/>
            </w:rPr>
            <w:fldChar w:fldCharType="end"/>
          </w:r>
          <w:r>
            <w:rPr>
              <w:rFonts w:hint="eastAsia"/>
              <w:sz w:val="24"/>
            </w:rPr>
            <w:fldChar w:fldCharType="end"/>
          </w:r>
        </w:p>
        <w:p>
          <w:pPr>
            <w:pStyle w:val="12"/>
            <w:adjustRightInd w:val="0"/>
            <w:snapToGrid w:val="0"/>
            <w:spacing w:line="440" w:lineRule="exact"/>
            <w:jc w:val="left"/>
            <w:rPr>
              <w:sz w:val="24"/>
            </w:rPr>
          </w:pPr>
          <w:r>
            <w:fldChar w:fldCharType="begin"/>
          </w:r>
          <w:r>
            <w:instrText xml:space="preserve"> HYPERLINK \l "_Toc28113" </w:instrText>
          </w:r>
          <w:r>
            <w:fldChar w:fldCharType="separate"/>
          </w:r>
          <w:r>
            <w:rPr>
              <w:rFonts w:hint="eastAsia"/>
              <w:sz w:val="24"/>
            </w:rPr>
            <w:t>七、“三公”经费财政拨款支出决算情况说明</w:t>
          </w:r>
          <w:r>
            <w:rPr>
              <w:rFonts w:hint="eastAsia"/>
              <w:sz w:val="24"/>
            </w:rPr>
            <w:tab/>
          </w:r>
          <w:r>
            <w:rPr>
              <w:rFonts w:hint="eastAsia"/>
              <w:sz w:val="24"/>
            </w:rPr>
            <w:fldChar w:fldCharType="begin"/>
          </w:r>
          <w:r>
            <w:rPr>
              <w:rFonts w:hint="eastAsia"/>
              <w:sz w:val="24"/>
            </w:rPr>
            <w:instrText xml:space="preserve"> PAGEREF _Toc28113 \h </w:instrText>
          </w:r>
          <w:r>
            <w:rPr>
              <w:rFonts w:hint="eastAsia"/>
              <w:sz w:val="24"/>
            </w:rPr>
            <w:fldChar w:fldCharType="separate"/>
          </w:r>
          <w:r>
            <w:rPr>
              <w:rFonts w:hint="eastAsia"/>
              <w:sz w:val="24"/>
            </w:rPr>
            <w:t>11</w:t>
          </w:r>
          <w:r>
            <w:rPr>
              <w:rFonts w:hint="eastAsia"/>
              <w:sz w:val="24"/>
            </w:rPr>
            <w:fldChar w:fldCharType="end"/>
          </w:r>
          <w:r>
            <w:rPr>
              <w:rFonts w:hint="eastAsia"/>
              <w:sz w:val="24"/>
            </w:rPr>
            <w:fldChar w:fldCharType="end"/>
          </w:r>
        </w:p>
        <w:p>
          <w:pPr>
            <w:pStyle w:val="12"/>
            <w:adjustRightInd w:val="0"/>
            <w:snapToGrid w:val="0"/>
            <w:spacing w:line="440" w:lineRule="exact"/>
            <w:jc w:val="left"/>
            <w:rPr>
              <w:sz w:val="24"/>
            </w:rPr>
          </w:pPr>
          <w:r>
            <w:fldChar w:fldCharType="begin"/>
          </w:r>
          <w:r>
            <w:instrText xml:space="preserve"> HYPERLINK \l "_Toc19424" </w:instrText>
          </w:r>
          <w:r>
            <w:fldChar w:fldCharType="separate"/>
          </w:r>
          <w:r>
            <w:rPr>
              <w:rFonts w:hint="eastAsia"/>
              <w:sz w:val="24"/>
            </w:rPr>
            <w:t>八、政府性基金预算支出决算情况说明</w:t>
          </w:r>
          <w:r>
            <w:rPr>
              <w:rFonts w:hint="eastAsia"/>
              <w:sz w:val="24"/>
            </w:rPr>
            <w:tab/>
          </w:r>
          <w:r>
            <w:rPr>
              <w:rFonts w:hint="eastAsia"/>
              <w:sz w:val="24"/>
            </w:rPr>
            <w:fldChar w:fldCharType="begin"/>
          </w:r>
          <w:r>
            <w:rPr>
              <w:rFonts w:hint="eastAsia"/>
              <w:sz w:val="24"/>
            </w:rPr>
            <w:instrText xml:space="preserve"> PAGEREF _Toc19424 \h </w:instrText>
          </w:r>
          <w:r>
            <w:rPr>
              <w:rFonts w:hint="eastAsia"/>
              <w:sz w:val="24"/>
            </w:rPr>
            <w:fldChar w:fldCharType="separate"/>
          </w:r>
          <w:r>
            <w:rPr>
              <w:rFonts w:hint="eastAsia"/>
              <w:sz w:val="24"/>
            </w:rPr>
            <w:t>12</w:t>
          </w:r>
          <w:r>
            <w:rPr>
              <w:rFonts w:hint="eastAsia"/>
              <w:sz w:val="24"/>
            </w:rPr>
            <w:fldChar w:fldCharType="end"/>
          </w:r>
          <w:r>
            <w:rPr>
              <w:rFonts w:hint="eastAsia"/>
              <w:sz w:val="24"/>
            </w:rPr>
            <w:fldChar w:fldCharType="end"/>
          </w:r>
        </w:p>
        <w:p>
          <w:pPr>
            <w:pStyle w:val="12"/>
            <w:adjustRightInd w:val="0"/>
            <w:snapToGrid w:val="0"/>
            <w:spacing w:line="440" w:lineRule="exact"/>
            <w:jc w:val="left"/>
            <w:rPr>
              <w:sz w:val="24"/>
            </w:rPr>
          </w:pPr>
          <w:r>
            <w:fldChar w:fldCharType="begin"/>
          </w:r>
          <w:r>
            <w:instrText xml:space="preserve"> HYPERLINK \l "_Toc5163" </w:instrText>
          </w:r>
          <w:r>
            <w:fldChar w:fldCharType="separate"/>
          </w:r>
          <w:r>
            <w:rPr>
              <w:rFonts w:hint="eastAsia"/>
              <w:sz w:val="24"/>
            </w:rPr>
            <w:t>九、 国有资本经营预算支出决算情况说明</w:t>
          </w:r>
          <w:r>
            <w:rPr>
              <w:rFonts w:hint="eastAsia"/>
              <w:sz w:val="24"/>
            </w:rPr>
            <w:tab/>
          </w:r>
          <w:r>
            <w:rPr>
              <w:rFonts w:hint="eastAsia"/>
              <w:sz w:val="24"/>
            </w:rPr>
            <w:fldChar w:fldCharType="begin"/>
          </w:r>
          <w:r>
            <w:rPr>
              <w:rFonts w:hint="eastAsia"/>
              <w:sz w:val="24"/>
            </w:rPr>
            <w:instrText xml:space="preserve"> PAGEREF _Toc5163 \h </w:instrText>
          </w:r>
          <w:r>
            <w:rPr>
              <w:rFonts w:hint="eastAsia"/>
              <w:sz w:val="24"/>
            </w:rPr>
            <w:fldChar w:fldCharType="separate"/>
          </w:r>
          <w:r>
            <w:rPr>
              <w:rFonts w:hint="eastAsia"/>
              <w:sz w:val="24"/>
            </w:rPr>
            <w:t>12</w:t>
          </w:r>
          <w:r>
            <w:rPr>
              <w:rFonts w:hint="eastAsia"/>
              <w:sz w:val="24"/>
            </w:rPr>
            <w:fldChar w:fldCharType="end"/>
          </w:r>
          <w:r>
            <w:rPr>
              <w:rFonts w:hint="eastAsia"/>
              <w:sz w:val="24"/>
            </w:rPr>
            <w:fldChar w:fldCharType="end"/>
          </w:r>
        </w:p>
        <w:p>
          <w:pPr>
            <w:pStyle w:val="12"/>
            <w:adjustRightInd w:val="0"/>
            <w:snapToGrid w:val="0"/>
            <w:spacing w:line="440" w:lineRule="exact"/>
            <w:jc w:val="left"/>
            <w:rPr>
              <w:sz w:val="24"/>
            </w:rPr>
          </w:pPr>
          <w:r>
            <w:fldChar w:fldCharType="begin"/>
          </w:r>
          <w:r>
            <w:instrText xml:space="preserve"> HYPERLINK \l "_Toc6932" </w:instrText>
          </w:r>
          <w:r>
            <w:fldChar w:fldCharType="separate"/>
          </w:r>
          <w:r>
            <w:rPr>
              <w:rFonts w:hint="eastAsia"/>
              <w:sz w:val="24"/>
            </w:rPr>
            <w:t>十、 其他重要事项的情况说明</w:t>
          </w:r>
          <w:r>
            <w:rPr>
              <w:rFonts w:hint="eastAsia"/>
              <w:sz w:val="24"/>
            </w:rPr>
            <w:tab/>
          </w:r>
          <w:r>
            <w:rPr>
              <w:rFonts w:hint="eastAsia"/>
              <w:sz w:val="24"/>
            </w:rPr>
            <w:fldChar w:fldCharType="begin"/>
          </w:r>
          <w:r>
            <w:rPr>
              <w:rFonts w:hint="eastAsia"/>
              <w:sz w:val="24"/>
            </w:rPr>
            <w:instrText xml:space="preserve"> PAGEREF _Toc6932 \h </w:instrText>
          </w:r>
          <w:r>
            <w:rPr>
              <w:rFonts w:hint="eastAsia"/>
              <w:sz w:val="24"/>
            </w:rPr>
            <w:fldChar w:fldCharType="separate"/>
          </w:r>
          <w:r>
            <w:rPr>
              <w:rFonts w:hint="eastAsia"/>
              <w:sz w:val="24"/>
            </w:rPr>
            <w:t>12</w:t>
          </w:r>
          <w:r>
            <w:rPr>
              <w:rFonts w:hint="eastAsia"/>
              <w:sz w:val="24"/>
            </w:rPr>
            <w:fldChar w:fldCharType="end"/>
          </w:r>
          <w:r>
            <w:rPr>
              <w:rFonts w:hint="eastAsia"/>
              <w:sz w:val="24"/>
            </w:rPr>
            <w:fldChar w:fldCharType="end"/>
          </w:r>
        </w:p>
        <w:p>
          <w:pPr>
            <w:pStyle w:val="11"/>
            <w:adjustRightInd w:val="0"/>
            <w:snapToGrid w:val="0"/>
            <w:spacing w:before="0" w:line="440" w:lineRule="exact"/>
            <w:jc w:val="left"/>
            <w:rPr>
              <w:sz w:val="24"/>
            </w:rPr>
          </w:pPr>
          <w:r>
            <w:fldChar w:fldCharType="begin"/>
          </w:r>
          <w:r>
            <w:instrText xml:space="preserve"> HYPERLINK \l "_Toc4465" </w:instrText>
          </w:r>
          <w:r>
            <w:fldChar w:fldCharType="separate"/>
          </w:r>
          <w:r>
            <w:rPr>
              <w:rFonts w:hint="eastAsia"/>
              <w:sz w:val="24"/>
            </w:rPr>
            <w:t>第三部分 名词解释</w:t>
          </w:r>
          <w:r>
            <w:rPr>
              <w:rFonts w:hint="eastAsia"/>
              <w:sz w:val="24"/>
            </w:rPr>
            <w:tab/>
          </w:r>
          <w:r>
            <w:rPr>
              <w:rFonts w:hint="eastAsia"/>
              <w:sz w:val="24"/>
            </w:rPr>
            <w:fldChar w:fldCharType="begin"/>
          </w:r>
          <w:r>
            <w:rPr>
              <w:rFonts w:hint="eastAsia"/>
              <w:sz w:val="24"/>
            </w:rPr>
            <w:instrText xml:space="preserve"> PAGEREF _Toc4465 \h </w:instrText>
          </w:r>
          <w:r>
            <w:rPr>
              <w:rFonts w:hint="eastAsia"/>
              <w:sz w:val="24"/>
            </w:rPr>
            <w:fldChar w:fldCharType="separate"/>
          </w:r>
          <w:r>
            <w:rPr>
              <w:rFonts w:hint="eastAsia"/>
              <w:sz w:val="24"/>
            </w:rPr>
            <w:t>15</w:t>
          </w:r>
          <w:r>
            <w:rPr>
              <w:rFonts w:hint="eastAsia"/>
              <w:sz w:val="24"/>
            </w:rPr>
            <w:fldChar w:fldCharType="end"/>
          </w:r>
          <w:r>
            <w:rPr>
              <w:rFonts w:hint="eastAsia"/>
              <w:sz w:val="24"/>
            </w:rPr>
            <w:fldChar w:fldCharType="end"/>
          </w:r>
        </w:p>
        <w:p>
          <w:pPr>
            <w:pStyle w:val="11"/>
            <w:adjustRightInd w:val="0"/>
            <w:snapToGrid w:val="0"/>
            <w:spacing w:before="0" w:line="440" w:lineRule="exact"/>
            <w:jc w:val="left"/>
            <w:rPr>
              <w:sz w:val="24"/>
            </w:rPr>
          </w:pPr>
          <w:r>
            <w:fldChar w:fldCharType="begin"/>
          </w:r>
          <w:r>
            <w:instrText xml:space="preserve"> HYPERLINK \l "_Toc19905" </w:instrText>
          </w:r>
          <w:r>
            <w:fldChar w:fldCharType="separate"/>
          </w:r>
          <w:r>
            <w:rPr>
              <w:rFonts w:hint="eastAsia"/>
              <w:sz w:val="24"/>
            </w:rPr>
            <w:t>第四部分 附件</w:t>
          </w:r>
          <w:r>
            <w:rPr>
              <w:rFonts w:hint="eastAsia"/>
              <w:sz w:val="24"/>
            </w:rPr>
            <w:tab/>
          </w:r>
          <w:r>
            <w:rPr>
              <w:rFonts w:hint="eastAsia"/>
              <w:sz w:val="24"/>
            </w:rPr>
            <w:fldChar w:fldCharType="begin"/>
          </w:r>
          <w:r>
            <w:rPr>
              <w:rFonts w:hint="eastAsia"/>
              <w:sz w:val="24"/>
            </w:rPr>
            <w:instrText xml:space="preserve"> PAGEREF _Toc19905 \h </w:instrText>
          </w:r>
          <w:r>
            <w:rPr>
              <w:rFonts w:hint="eastAsia"/>
              <w:sz w:val="24"/>
            </w:rPr>
            <w:fldChar w:fldCharType="separate"/>
          </w:r>
          <w:r>
            <w:rPr>
              <w:rFonts w:hint="eastAsia"/>
              <w:sz w:val="24"/>
            </w:rPr>
            <w:t>17</w:t>
          </w:r>
          <w:r>
            <w:rPr>
              <w:rFonts w:hint="eastAsia"/>
              <w:sz w:val="24"/>
            </w:rPr>
            <w:fldChar w:fldCharType="end"/>
          </w:r>
          <w:r>
            <w:rPr>
              <w:rFonts w:hint="eastAsia"/>
              <w:sz w:val="24"/>
            </w:rPr>
            <w:fldChar w:fldCharType="end"/>
          </w:r>
        </w:p>
        <w:p>
          <w:pPr>
            <w:pStyle w:val="11"/>
            <w:adjustRightInd w:val="0"/>
            <w:snapToGrid w:val="0"/>
            <w:spacing w:before="0" w:line="440" w:lineRule="exact"/>
            <w:jc w:val="left"/>
            <w:rPr>
              <w:sz w:val="24"/>
            </w:rPr>
          </w:pPr>
          <w:r>
            <w:fldChar w:fldCharType="begin"/>
          </w:r>
          <w:r>
            <w:instrText xml:space="preserve"> HYPERLINK \l "_Toc24360" </w:instrText>
          </w:r>
          <w:r>
            <w:fldChar w:fldCharType="separate"/>
          </w:r>
          <w:r>
            <w:rPr>
              <w:rFonts w:hint="eastAsia"/>
              <w:sz w:val="24"/>
            </w:rPr>
            <w:t>第五部分 附表</w:t>
          </w:r>
          <w:r>
            <w:rPr>
              <w:rFonts w:hint="eastAsia"/>
              <w:sz w:val="24"/>
            </w:rPr>
            <w:tab/>
          </w:r>
          <w:r>
            <w:rPr>
              <w:rFonts w:hint="eastAsia"/>
              <w:sz w:val="24"/>
            </w:rPr>
            <w:fldChar w:fldCharType="begin"/>
          </w:r>
          <w:r>
            <w:rPr>
              <w:rFonts w:hint="eastAsia"/>
              <w:sz w:val="24"/>
            </w:rPr>
            <w:instrText xml:space="preserve"> PAGEREF _Toc24360 \h </w:instrText>
          </w:r>
          <w:r>
            <w:rPr>
              <w:rFonts w:hint="eastAsia"/>
              <w:sz w:val="24"/>
            </w:rPr>
            <w:fldChar w:fldCharType="separate"/>
          </w:r>
          <w:r>
            <w:rPr>
              <w:rFonts w:hint="eastAsia"/>
              <w:sz w:val="24"/>
            </w:rPr>
            <w:t>18</w:t>
          </w:r>
          <w:r>
            <w:rPr>
              <w:rFonts w:hint="eastAsia"/>
              <w:sz w:val="24"/>
            </w:rPr>
            <w:fldChar w:fldCharType="end"/>
          </w:r>
          <w:r>
            <w:rPr>
              <w:rFonts w:hint="eastAsia"/>
              <w:sz w:val="24"/>
            </w:rPr>
            <w:fldChar w:fldCharType="end"/>
          </w:r>
        </w:p>
        <w:p>
          <w:pPr>
            <w:pStyle w:val="12"/>
            <w:adjustRightInd w:val="0"/>
            <w:snapToGrid w:val="0"/>
            <w:spacing w:line="440" w:lineRule="exact"/>
            <w:jc w:val="left"/>
            <w:rPr>
              <w:sz w:val="24"/>
            </w:rPr>
          </w:pPr>
          <w:r>
            <w:fldChar w:fldCharType="begin"/>
          </w:r>
          <w:r>
            <w:instrText xml:space="preserve"> HYPERLINK \l "_Toc9167" </w:instrText>
          </w:r>
          <w:r>
            <w:fldChar w:fldCharType="separate"/>
          </w:r>
          <w:r>
            <w:rPr>
              <w:rFonts w:hint="eastAsia"/>
              <w:sz w:val="24"/>
            </w:rPr>
            <w:t>一、收入支出决算总表</w:t>
          </w:r>
          <w:r>
            <w:rPr>
              <w:rFonts w:hint="eastAsia"/>
              <w:sz w:val="24"/>
            </w:rPr>
            <w:tab/>
          </w:r>
          <w:r>
            <w:rPr>
              <w:rFonts w:hint="eastAsia"/>
              <w:sz w:val="24"/>
            </w:rPr>
            <w:fldChar w:fldCharType="begin"/>
          </w:r>
          <w:r>
            <w:rPr>
              <w:rFonts w:hint="eastAsia"/>
              <w:sz w:val="24"/>
            </w:rPr>
            <w:instrText xml:space="preserve"> PAGEREF _Toc9167 \h </w:instrText>
          </w:r>
          <w:r>
            <w:rPr>
              <w:rFonts w:hint="eastAsia"/>
              <w:sz w:val="24"/>
            </w:rPr>
            <w:fldChar w:fldCharType="separate"/>
          </w:r>
          <w:r>
            <w:rPr>
              <w:rFonts w:hint="eastAsia"/>
              <w:sz w:val="24"/>
            </w:rPr>
            <w:t>18</w:t>
          </w:r>
          <w:r>
            <w:rPr>
              <w:rFonts w:hint="eastAsia"/>
              <w:sz w:val="24"/>
            </w:rPr>
            <w:fldChar w:fldCharType="end"/>
          </w:r>
          <w:r>
            <w:rPr>
              <w:rFonts w:hint="eastAsia"/>
              <w:sz w:val="24"/>
            </w:rPr>
            <w:fldChar w:fldCharType="end"/>
          </w:r>
        </w:p>
        <w:p>
          <w:pPr>
            <w:pStyle w:val="12"/>
            <w:adjustRightInd w:val="0"/>
            <w:snapToGrid w:val="0"/>
            <w:spacing w:line="440" w:lineRule="exact"/>
            <w:jc w:val="left"/>
            <w:rPr>
              <w:sz w:val="24"/>
            </w:rPr>
          </w:pPr>
          <w:r>
            <w:fldChar w:fldCharType="begin"/>
          </w:r>
          <w:r>
            <w:instrText xml:space="preserve"> HYPERLINK \l "_Toc9242" </w:instrText>
          </w:r>
          <w:r>
            <w:fldChar w:fldCharType="separate"/>
          </w:r>
          <w:r>
            <w:rPr>
              <w:rFonts w:hint="eastAsia"/>
              <w:sz w:val="24"/>
            </w:rPr>
            <w:t>二、收入决算表</w:t>
          </w:r>
          <w:r>
            <w:rPr>
              <w:rFonts w:hint="eastAsia"/>
              <w:sz w:val="24"/>
            </w:rPr>
            <w:tab/>
          </w:r>
          <w:r>
            <w:rPr>
              <w:rFonts w:hint="eastAsia"/>
              <w:sz w:val="24"/>
            </w:rPr>
            <w:fldChar w:fldCharType="begin"/>
          </w:r>
          <w:r>
            <w:rPr>
              <w:rFonts w:hint="eastAsia"/>
              <w:sz w:val="24"/>
            </w:rPr>
            <w:instrText xml:space="preserve"> PAGEREF _Toc9242 \h </w:instrText>
          </w:r>
          <w:r>
            <w:rPr>
              <w:rFonts w:hint="eastAsia"/>
              <w:sz w:val="24"/>
            </w:rPr>
            <w:fldChar w:fldCharType="separate"/>
          </w:r>
          <w:r>
            <w:rPr>
              <w:rFonts w:hint="eastAsia"/>
              <w:sz w:val="24"/>
            </w:rPr>
            <w:t>18</w:t>
          </w:r>
          <w:r>
            <w:rPr>
              <w:rFonts w:hint="eastAsia"/>
              <w:sz w:val="24"/>
            </w:rPr>
            <w:fldChar w:fldCharType="end"/>
          </w:r>
          <w:r>
            <w:rPr>
              <w:rFonts w:hint="eastAsia"/>
              <w:sz w:val="24"/>
            </w:rPr>
            <w:fldChar w:fldCharType="end"/>
          </w:r>
        </w:p>
        <w:p>
          <w:pPr>
            <w:pStyle w:val="12"/>
            <w:adjustRightInd w:val="0"/>
            <w:snapToGrid w:val="0"/>
            <w:spacing w:line="440" w:lineRule="exact"/>
            <w:jc w:val="left"/>
            <w:rPr>
              <w:sz w:val="24"/>
            </w:rPr>
          </w:pPr>
          <w:r>
            <w:fldChar w:fldCharType="begin"/>
          </w:r>
          <w:r>
            <w:instrText xml:space="preserve"> HYPERLINK \l "_Toc4451" </w:instrText>
          </w:r>
          <w:r>
            <w:fldChar w:fldCharType="separate"/>
          </w:r>
          <w:r>
            <w:rPr>
              <w:rFonts w:hint="eastAsia"/>
              <w:sz w:val="24"/>
            </w:rPr>
            <w:t>三、支出决算表</w:t>
          </w:r>
          <w:r>
            <w:rPr>
              <w:rFonts w:hint="eastAsia"/>
              <w:sz w:val="24"/>
            </w:rPr>
            <w:tab/>
          </w:r>
          <w:r>
            <w:rPr>
              <w:rFonts w:hint="eastAsia"/>
              <w:sz w:val="24"/>
            </w:rPr>
            <w:fldChar w:fldCharType="begin"/>
          </w:r>
          <w:r>
            <w:rPr>
              <w:rFonts w:hint="eastAsia"/>
              <w:sz w:val="24"/>
            </w:rPr>
            <w:instrText xml:space="preserve"> PAGEREF _Toc4451 \h </w:instrText>
          </w:r>
          <w:r>
            <w:rPr>
              <w:rFonts w:hint="eastAsia"/>
              <w:sz w:val="24"/>
            </w:rPr>
            <w:fldChar w:fldCharType="separate"/>
          </w:r>
          <w:r>
            <w:rPr>
              <w:rFonts w:hint="eastAsia"/>
              <w:sz w:val="24"/>
            </w:rPr>
            <w:t>18</w:t>
          </w:r>
          <w:r>
            <w:rPr>
              <w:rFonts w:hint="eastAsia"/>
              <w:sz w:val="24"/>
            </w:rPr>
            <w:fldChar w:fldCharType="end"/>
          </w:r>
          <w:r>
            <w:rPr>
              <w:rFonts w:hint="eastAsia"/>
              <w:sz w:val="24"/>
            </w:rPr>
            <w:fldChar w:fldCharType="end"/>
          </w:r>
        </w:p>
        <w:p>
          <w:pPr>
            <w:pStyle w:val="12"/>
            <w:adjustRightInd w:val="0"/>
            <w:snapToGrid w:val="0"/>
            <w:spacing w:line="440" w:lineRule="exact"/>
            <w:jc w:val="left"/>
            <w:rPr>
              <w:sz w:val="24"/>
            </w:rPr>
          </w:pPr>
          <w:r>
            <w:fldChar w:fldCharType="begin"/>
          </w:r>
          <w:r>
            <w:instrText xml:space="preserve"> HYPERLINK \l "_Toc13366" </w:instrText>
          </w:r>
          <w:r>
            <w:fldChar w:fldCharType="separate"/>
          </w:r>
          <w:r>
            <w:rPr>
              <w:rFonts w:hint="eastAsia"/>
              <w:sz w:val="24"/>
            </w:rPr>
            <w:t>四、财政拨款收入支出决算总表</w:t>
          </w:r>
          <w:r>
            <w:rPr>
              <w:rFonts w:hint="eastAsia"/>
              <w:sz w:val="24"/>
            </w:rPr>
            <w:tab/>
          </w:r>
          <w:r>
            <w:rPr>
              <w:rFonts w:hint="eastAsia"/>
              <w:sz w:val="24"/>
            </w:rPr>
            <w:fldChar w:fldCharType="begin"/>
          </w:r>
          <w:r>
            <w:rPr>
              <w:rFonts w:hint="eastAsia"/>
              <w:sz w:val="24"/>
            </w:rPr>
            <w:instrText xml:space="preserve"> PAGEREF _Toc13366 \h </w:instrText>
          </w:r>
          <w:r>
            <w:rPr>
              <w:rFonts w:hint="eastAsia"/>
              <w:sz w:val="24"/>
            </w:rPr>
            <w:fldChar w:fldCharType="separate"/>
          </w:r>
          <w:r>
            <w:rPr>
              <w:rFonts w:hint="eastAsia"/>
              <w:sz w:val="24"/>
            </w:rPr>
            <w:t>18</w:t>
          </w:r>
          <w:r>
            <w:rPr>
              <w:rFonts w:hint="eastAsia"/>
              <w:sz w:val="24"/>
            </w:rPr>
            <w:fldChar w:fldCharType="end"/>
          </w:r>
          <w:r>
            <w:rPr>
              <w:rFonts w:hint="eastAsia"/>
              <w:sz w:val="24"/>
            </w:rPr>
            <w:fldChar w:fldCharType="end"/>
          </w:r>
        </w:p>
        <w:p>
          <w:pPr>
            <w:pStyle w:val="12"/>
            <w:adjustRightInd w:val="0"/>
            <w:snapToGrid w:val="0"/>
            <w:spacing w:line="440" w:lineRule="exact"/>
            <w:jc w:val="left"/>
            <w:rPr>
              <w:sz w:val="24"/>
            </w:rPr>
          </w:pPr>
          <w:r>
            <w:fldChar w:fldCharType="begin"/>
          </w:r>
          <w:r>
            <w:instrText xml:space="preserve"> HYPERLINK \l "_Toc11301" </w:instrText>
          </w:r>
          <w:r>
            <w:fldChar w:fldCharType="separate"/>
          </w:r>
          <w:r>
            <w:rPr>
              <w:rFonts w:hint="eastAsia"/>
              <w:sz w:val="24"/>
            </w:rPr>
            <w:t>五、财政拨款支出决算明细表</w:t>
          </w:r>
          <w:r>
            <w:rPr>
              <w:rFonts w:hint="eastAsia"/>
              <w:sz w:val="24"/>
            </w:rPr>
            <w:tab/>
          </w:r>
          <w:r>
            <w:rPr>
              <w:rFonts w:hint="eastAsia"/>
              <w:sz w:val="24"/>
            </w:rPr>
            <w:fldChar w:fldCharType="begin"/>
          </w:r>
          <w:r>
            <w:rPr>
              <w:rFonts w:hint="eastAsia"/>
              <w:sz w:val="24"/>
            </w:rPr>
            <w:instrText xml:space="preserve"> PAGEREF _Toc11301 \h </w:instrText>
          </w:r>
          <w:r>
            <w:rPr>
              <w:rFonts w:hint="eastAsia"/>
              <w:sz w:val="24"/>
            </w:rPr>
            <w:fldChar w:fldCharType="separate"/>
          </w:r>
          <w:r>
            <w:rPr>
              <w:rFonts w:hint="eastAsia"/>
              <w:sz w:val="24"/>
            </w:rPr>
            <w:t>18</w:t>
          </w:r>
          <w:r>
            <w:rPr>
              <w:rFonts w:hint="eastAsia"/>
              <w:sz w:val="24"/>
            </w:rPr>
            <w:fldChar w:fldCharType="end"/>
          </w:r>
          <w:r>
            <w:rPr>
              <w:rFonts w:hint="eastAsia"/>
              <w:sz w:val="24"/>
            </w:rPr>
            <w:fldChar w:fldCharType="end"/>
          </w:r>
        </w:p>
        <w:p>
          <w:pPr>
            <w:pStyle w:val="12"/>
            <w:adjustRightInd w:val="0"/>
            <w:snapToGrid w:val="0"/>
            <w:spacing w:line="440" w:lineRule="exact"/>
            <w:jc w:val="left"/>
            <w:rPr>
              <w:sz w:val="24"/>
            </w:rPr>
          </w:pPr>
          <w:r>
            <w:fldChar w:fldCharType="begin"/>
          </w:r>
          <w:r>
            <w:instrText xml:space="preserve"> HYPERLINK \l "_Toc466" </w:instrText>
          </w:r>
          <w:r>
            <w:fldChar w:fldCharType="separate"/>
          </w:r>
          <w:r>
            <w:rPr>
              <w:rFonts w:hint="eastAsia"/>
              <w:sz w:val="24"/>
            </w:rPr>
            <w:t>六、一般公共预算财政拨款支出决算表</w:t>
          </w:r>
          <w:r>
            <w:rPr>
              <w:rFonts w:hint="eastAsia"/>
              <w:sz w:val="24"/>
            </w:rPr>
            <w:tab/>
          </w:r>
          <w:r>
            <w:rPr>
              <w:rFonts w:hint="eastAsia"/>
              <w:sz w:val="24"/>
            </w:rPr>
            <w:fldChar w:fldCharType="begin"/>
          </w:r>
          <w:r>
            <w:rPr>
              <w:rFonts w:hint="eastAsia"/>
              <w:sz w:val="24"/>
            </w:rPr>
            <w:instrText xml:space="preserve"> PAGEREF _Toc466 \h </w:instrText>
          </w:r>
          <w:r>
            <w:rPr>
              <w:rFonts w:hint="eastAsia"/>
              <w:sz w:val="24"/>
            </w:rPr>
            <w:fldChar w:fldCharType="separate"/>
          </w:r>
          <w:r>
            <w:rPr>
              <w:rFonts w:hint="eastAsia"/>
              <w:sz w:val="24"/>
            </w:rPr>
            <w:t>18</w:t>
          </w:r>
          <w:r>
            <w:rPr>
              <w:rFonts w:hint="eastAsia"/>
              <w:sz w:val="24"/>
            </w:rPr>
            <w:fldChar w:fldCharType="end"/>
          </w:r>
          <w:r>
            <w:rPr>
              <w:rFonts w:hint="eastAsia"/>
              <w:sz w:val="24"/>
            </w:rPr>
            <w:fldChar w:fldCharType="end"/>
          </w:r>
        </w:p>
        <w:p>
          <w:pPr>
            <w:pStyle w:val="12"/>
            <w:adjustRightInd w:val="0"/>
            <w:snapToGrid w:val="0"/>
            <w:spacing w:line="440" w:lineRule="exact"/>
            <w:jc w:val="left"/>
            <w:rPr>
              <w:sz w:val="24"/>
            </w:rPr>
          </w:pPr>
          <w:r>
            <w:fldChar w:fldCharType="begin"/>
          </w:r>
          <w:r>
            <w:instrText xml:space="preserve"> HYPERLINK \l "_Toc27728" </w:instrText>
          </w:r>
          <w:r>
            <w:fldChar w:fldCharType="separate"/>
          </w:r>
          <w:r>
            <w:rPr>
              <w:rFonts w:hint="eastAsia"/>
              <w:sz w:val="24"/>
            </w:rPr>
            <w:t>七、一般公共预算财政拨款支出决算明细表</w:t>
          </w:r>
          <w:r>
            <w:rPr>
              <w:rFonts w:hint="eastAsia"/>
              <w:sz w:val="24"/>
            </w:rPr>
            <w:tab/>
          </w:r>
          <w:r>
            <w:rPr>
              <w:rFonts w:hint="eastAsia"/>
              <w:sz w:val="24"/>
            </w:rPr>
            <w:fldChar w:fldCharType="begin"/>
          </w:r>
          <w:r>
            <w:rPr>
              <w:rFonts w:hint="eastAsia"/>
              <w:sz w:val="24"/>
            </w:rPr>
            <w:instrText xml:space="preserve"> PAGEREF _Toc27728 \h </w:instrText>
          </w:r>
          <w:r>
            <w:rPr>
              <w:rFonts w:hint="eastAsia"/>
              <w:sz w:val="24"/>
            </w:rPr>
            <w:fldChar w:fldCharType="separate"/>
          </w:r>
          <w:r>
            <w:rPr>
              <w:rFonts w:hint="eastAsia"/>
              <w:sz w:val="24"/>
            </w:rPr>
            <w:t>18</w:t>
          </w:r>
          <w:r>
            <w:rPr>
              <w:rFonts w:hint="eastAsia"/>
              <w:sz w:val="24"/>
            </w:rPr>
            <w:fldChar w:fldCharType="end"/>
          </w:r>
          <w:r>
            <w:rPr>
              <w:rFonts w:hint="eastAsia"/>
              <w:sz w:val="24"/>
            </w:rPr>
            <w:fldChar w:fldCharType="end"/>
          </w:r>
        </w:p>
        <w:p>
          <w:pPr>
            <w:pStyle w:val="12"/>
            <w:adjustRightInd w:val="0"/>
            <w:snapToGrid w:val="0"/>
            <w:spacing w:line="440" w:lineRule="exact"/>
            <w:jc w:val="left"/>
            <w:rPr>
              <w:sz w:val="24"/>
            </w:rPr>
          </w:pPr>
          <w:r>
            <w:fldChar w:fldCharType="begin"/>
          </w:r>
          <w:r>
            <w:instrText xml:space="preserve"> HYPERLINK \l "_Toc15984" </w:instrText>
          </w:r>
          <w:r>
            <w:fldChar w:fldCharType="separate"/>
          </w:r>
          <w:r>
            <w:rPr>
              <w:rFonts w:hint="eastAsia"/>
              <w:sz w:val="24"/>
            </w:rPr>
            <w:t>八、一般公共预算财政拨款基本支出决算表</w:t>
          </w:r>
          <w:r>
            <w:rPr>
              <w:rFonts w:hint="eastAsia"/>
              <w:sz w:val="24"/>
            </w:rPr>
            <w:tab/>
          </w:r>
          <w:r>
            <w:rPr>
              <w:rFonts w:hint="eastAsia"/>
              <w:sz w:val="24"/>
            </w:rPr>
            <w:fldChar w:fldCharType="begin"/>
          </w:r>
          <w:r>
            <w:rPr>
              <w:rFonts w:hint="eastAsia"/>
              <w:sz w:val="24"/>
            </w:rPr>
            <w:instrText xml:space="preserve"> PAGEREF _Toc15984 \h </w:instrText>
          </w:r>
          <w:r>
            <w:rPr>
              <w:rFonts w:hint="eastAsia"/>
              <w:sz w:val="24"/>
            </w:rPr>
            <w:fldChar w:fldCharType="separate"/>
          </w:r>
          <w:r>
            <w:rPr>
              <w:rFonts w:hint="eastAsia"/>
              <w:sz w:val="24"/>
            </w:rPr>
            <w:t>18</w:t>
          </w:r>
          <w:r>
            <w:rPr>
              <w:rFonts w:hint="eastAsia"/>
              <w:sz w:val="24"/>
            </w:rPr>
            <w:fldChar w:fldCharType="end"/>
          </w:r>
          <w:r>
            <w:rPr>
              <w:rFonts w:hint="eastAsia"/>
              <w:sz w:val="24"/>
            </w:rPr>
            <w:fldChar w:fldCharType="end"/>
          </w:r>
        </w:p>
        <w:p>
          <w:pPr>
            <w:pStyle w:val="12"/>
            <w:adjustRightInd w:val="0"/>
            <w:snapToGrid w:val="0"/>
            <w:spacing w:line="440" w:lineRule="exact"/>
            <w:jc w:val="left"/>
            <w:rPr>
              <w:sz w:val="24"/>
            </w:rPr>
          </w:pPr>
          <w:r>
            <w:fldChar w:fldCharType="begin"/>
          </w:r>
          <w:r>
            <w:instrText xml:space="preserve"> HYPERLINK \l "_Toc22194" </w:instrText>
          </w:r>
          <w:r>
            <w:fldChar w:fldCharType="separate"/>
          </w:r>
          <w:r>
            <w:rPr>
              <w:rFonts w:hint="eastAsia"/>
              <w:sz w:val="24"/>
            </w:rPr>
            <w:t>九、一般公共预算财政拨款项目支出决算表</w:t>
          </w:r>
          <w:r>
            <w:rPr>
              <w:rFonts w:hint="eastAsia"/>
              <w:sz w:val="24"/>
            </w:rPr>
            <w:tab/>
          </w:r>
          <w:r>
            <w:rPr>
              <w:rFonts w:hint="eastAsia"/>
              <w:sz w:val="24"/>
            </w:rPr>
            <w:fldChar w:fldCharType="begin"/>
          </w:r>
          <w:r>
            <w:rPr>
              <w:rFonts w:hint="eastAsia"/>
              <w:sz w:val="24"/>
            </w:rPr>
            <w:instrText xml:space="preserve"> PAGEREF _Toc22194 \h </w:instrText>
          </w:r>
          <w:r>
            <w:rPr>
              <w:rFonts w:hint="eastAsia"/>
              <w:sz w:val="24"/>
            </w:rPr>
            <w:fldChar w:fldCharType="separate"/>
          </w:r>
          <w:r>
            <w:rPr>
              <w:rFonts w:hint="eastAsia"/>
              <w:sz w:val="24"/>
            </w:rPr>
            <w:t>18</w:t>
          </w:r>
          <w:r>
            <w:rPr>
              <w:rFonts w:hint="eastAsia"/>
              <w:sz w:val="24"/>
            </w:rPr>
            <w:fldChar w:fldCharType="end"/>
          </w:r>
          <w:r>
            <w:rPr>
              <w:rFonts w:hint="eastAsia"/>
              <w:sz w:val="24"/>
            </w:rPr>
            <w:fldChar w:fldCharType="end"/>
          </w:r>
        </w:p>
        <w:p>
          <w:pPr>
            <w:pStyle w:val="12"/>
            <w:adjustRightInd w:val="0"/>
            <w:snapToGrid w:val="0"/>
            <w:spacing w:line="440" w:lineRule="exact"/>
            <w:jc w:val="left"/>
            <w:rPr>
              <w:sz w:val="24"/>
            </w:rPr>
          </w:pPr>
          <w:r>
            <w:fldChar w:fldCharType="begin"/>
          </w:r>
          <w:r>
            <w:instrText xml:space="preserve"> HYPERLINK \l "_Toc22456" </w:instrText>
          </w:r>
          <w:r>
            <w:fldChar w:fldCharType="separate"/>
          </w:r>
          <w:r>
            <w:rPr>
              <w:rFonts w:hint="eastAsia"/>
              <w:sz w:val="24"/>
            </w:rPr>
            <w:t>十、一般公共预算财政拨款“三公”经费支出决算表</w:t>
          </w:r>
          <w:r>
            <w:rPr>
              <w:rFonts w:hint="eastAsia"/>
              <w:sz w:val="24"/>
            </w:rPr>
            <w:tab/>
          </w:r>
          <w:r>
            <w:rPr>
              <w:rFonts w:hint="eastAsia"/>
              <w:sz w:val="24"/>
            </w:rPr>
            <w:fldChar w:fldCharType="begin"/>
          </w:r>
          <w:r>
            <w:rPr>
              <w:rFonts w:hint="eastAsia"/>
              <w:sz w:val="24"/>
            </w:rPr>
            <w:instrText xml:space="preserve"> PAGEREF _Toc22456 \h </w:instrText>
          </w:r>
          <w:r>
            <w:rPr>
              <w:rFonts w:hint="eastAsia"/>
              <w:sz w:val="24"/>
            </w:rPr>
            <w:fldChar w:fldCharType="separate"/>
          </w:r>
          <w:r>
            <w:rPr>
              <w:rFonts w:hint="eastAsia"/>
              <w:sz w:val="24"/>
            </w:rPr>
            <w:t>18</w:t>
          </w:r>
          <w:r>
            <w:rPr>
              <w:rFonts w:hint="eastAsia"/>
              <w:sz w:val="24"/>
            </w:rPr>
            <w:fldChar w:fldCharType="end"/>
          </w:r>
          <w:r>
            <w:rPr>
              <w:rFonts w:hint="eastAsia"/>
              <w:sz w:val="24"/>
            </w:rPr>
            <w:fldChar w:fldCharType="end"/>
          </w:r>
        </w:p>
        <w:p>
          <w:pPr>
            <w:pStyle w:val="12"/>
            <w:adjustRightInd w:val="0"/>
            <w:snapToGrid w:val="0"/>
            <w:spacing w:line="440" w:lineRule="exact"/>
            <w:jc w:val="left"/>
            <w:rPr>
              <w:sz w:val="24"/>
            </w:rPr>
          </w:pPr>
          <w:r>
            <w:fldChar w:fldCharType="begin"/>
          </w:r>
          <w:r>
            <w:instrText xml:space="preserve"> HYPERLINK \l "_Toc22069" </w:instrText>
          </w:r>
          <w:r>
            <w:fldChar w:fldCharType="separate"/>
          </w:r>
          <w:r>
            <w:rPr>
              <w:rFonts w:hint="eastAsia"/>
              <w:sz w:val="24"/>
            </w:rPr>
            <w:t>十一、政府性基金预算财政拨款收入支出决算表</w:t>
          </w:r>
          <w:r>
            <w:rPr>
              <w:rFonts w:hint="eastAsia"/>
              <w:sz w:val="24"/>
            </w:rPr>
            <w:tab/>
          </w:r>
          <w:r>
            <w:rPr>
              <w:rFonts w:hint="eastAsia"/>
              <w:sz w:val="24"/>
            </w:rPr>
            <w:fldChar w:fldCharType="begin"/>
          </w:r>
          <w:r>
            <w:rPr>
              <w:rFonts w:hint="eastAsia"/>
              <w:sz w:val="24"/>
            </w:rPr>
            <w:instrText xml:space="preserve"> PAGEREF _Toc22069 \h </w:instrText>
          </w:r>
          <w:r>
            <w:rPr>
              <w:rFonts w:hint="eastAsia"/>
              <w:sz w:val="24"/>
            </w:rPr>
            <w:fldChar w:fldCharType="separate"/>
          </w:r>
          <w:r>
            <w:rPr>
              <w:rFonts w:hint="eastAsia"/>
              <w:sz w:val="24"/>
            </w:rPr>
            <w:t>18</w:t>
          </w:r>
          <w:r>
            <w:rPr>
              <w:rFonts w:hint="eastAsia"/>
              <w:sz w:val="24"/>
            </w:rPr>
            <w:fldChar w:fldCharType="end"/>
          </w:r>
          <w:r>
            <w:rPr>
              <w:rFonts w:hint="eastAsia"/>
              <w:sz w:val="24"/>
            </w:rPr>
            <w:fldChar w:fldCharType="end"/>
          </w:r>
        </w:p>
        <w:p>
          <w:pPr>
            <w:pStyle w:val="12"/>
            <w:adjustRightInd w:val="0"/>
            <w:snapToGrid w:val="0"/>
            <w:spacing w:line="440" w:lineRule="exact"/>
            <w:jc w:val="left"/>
            <w:rPr>
              <w:sz w:val="24"/>
            </w:rPr>
          </w:pPr>
          <w:r>
            <w:fldChar w:fldCharType="begin"/>
          </w:r>
          <w:r>
            <w:instrText xml:space="preserve"> HYPERLINK \l "_Toc31042" </w:instrText>
          </w:r>
          <w:r>
            <w:fldChar w:fldCharType="separate"/>
          </w:r>
          <w:r>
            <w:rPr>
              <w:rFonts w:hint="eastAsia"/>
              <w:sz w:val="24"/>
            </w:rPr>
            <w:t>十二、政府性基金预算财政拨款“三公”经费支出决算表</w:t>
          </w:r>
          <w:r>
            <w:rPr>
              <w:rFonts w:hint="eastAsia"/>
              <w:sz w:val="24"/>
            </w:rPr>
            <w:tab/>
          </w:r>
          <w:r>
            <w:rPr>
              <w:rFonts w:hint="eastAsia"/>
              <w:sz w:val="24"/>
            </w:rPr>
            <w:fldChar w:fldCharType="begin"/>
          </w:r>
          <w:r>
            <w:rPr>
              <w:rFonts w:hint="eastAsia"/>
              <w:sz w:val="24"/>
            </w:rPr>
            <w:instrText xml:space="preserve"> PAGEREF _Toc31042 \h </w:instrText>
          </w:r>
          <w:r>
            <w:rPr>
              <w:rFonts w:hint="eastAsia"/>
              <w:sz w:val="24"/>
            </w:rPr>
            <w:fldChar w:fldCharType="separate"/>
          </w:r>
          <w:r>
            <w:rPr>
              <w:rFonts w:hint="eastAsia"/>
              <w:sz w:val="24"/>
            </w:rPr>
            <w:t>18</w:t>
          </w:r>
          <w:r>
            <w:rPr>
              <w:rFonts w:hint="eastAsia"/>
              <w:sz w:val="24"/>
            </w:rPr>
            <w:fldChar w:fldCharType="end"/>
          </w:r>
          <w:r>
            <w:rPr>
              <w:rFonts w:hint="eastAsia"/>
              <w:sz w:val="24"/>
            </w:rPr>
            <w:fldChar w:fldCharType="end"/>
          </w:r>
        </w:p>
        <w:p>
          <w:pPr>
            <w:pStyle w:val="12"/>
            <w:adjustRightInd w:val="0"/>
            <w:snapToGrid w:val="0"/>
            <w:spacing w:line="440" w:lineRule="exact"/>
            <w:jc w:val="left"/>
            <w:rPr>
              <w:sz w:val="24"/>
            </w:rPr>
          </w:pPr>
          <w:r>
            <w:fldChar w:fldCharType="begin"/>
          </w:r>
          <w:r>
            <w:instrText xml:space="preserve"> HYPERLINK \l "_Toc2818" </w:instrText>
          </w:r>
          <w:r>
            <w:fldChar w:fldCharType="separate"/>
          </w:r>
          <w:r>
            <w:rPr>
              <w:rFonts w:hint="eastAsia"/>
              <w:sz w:val="24"/>
            </w:rPr>
            <w:t>十三、国有资本经营预算财政拨款收入支出决算表</w:t>
          </w:r>
          <w:r>
            <w:rPr>
              <w:rFonts w:hint="eastAsia"/>
              <w:sz w:val="24"/>
            </w:rPr>
            <w:tab/>
          </w:r>
          <w:r>
            <w:rPr>
              <w:rFonts w:hint="eastAsia"/>
              <w:sz w:val="24"/>
            </w:rPr>
            <w:fldChar w:fldCharType="begin"/>
          </w:r>
          <w:r>
            <w:rPr>
              <w:rFonts w:hint="eastAsia"/>
              <w:sz w:val="24"/>
            </w:rPr>
            <w:instrText xml:space="preserve"> PAGEREF _Toc2818 \h </w:instrText>
          </w:r>
          <w:r>
            <w:rPr>
              <w:rFonts w:hint="eastAsia"/>
              <w:sz w:val="24"/>
            </w:rPr>
            <w:fldChar w:fldCharType="separate"/>
          </w:r>
          <w:r>
            <w:rPr>
              <w:rFonts w:hint="eastAsia"/>
              <w:sz w:val="24"/>
            </w:rPr>
            <w:t>18</w:t>
          </w:r>
          <w:r>
            <w:rPr>
              <w:rFonts w:hint="eastAsia"/>
              <w:sz w:val="24"/>
            </w:rPr>
            <w:fldChar w:fldCharType="end"/>
          </w:r>
          <w:r>
            <w:rPr>
              <w:rFonts w:hint="eastAsia"/>
              <w:sz w:val="24"/>
            </w:rPr>
            <w:fldChar w:fldCharType="end"/>
          </w:r>
        </w:p>
        <w:p>
          <w:pPr>
            <w:pStyle w:val="12"/>
            <w:adjustRightInd w:val="0"/>
            <w:snapToGrid w:val="0"/>
            <w:spacing w:line="440" w:lineRule="exact"/>
            <w:jc w:val="left"/>
          </w:pPr>
          <w:r>
            <w:fldChar w:fldCharType="begin"/>
          </w:r>
          <w:r>
            <w:instrText xml:space="preserve"> HYPERLINK \l "_Toc8634" </w:instrText>
          </w:r>
          <w:r>
            <w:fldChar w:fldCharType="separate"/>
          </w:r>
          <w:r>
            <w:rPr>
              <w:rFonts w:hint="eastAsia"/>
              <w:sz w:val="24"/>
            </w:rPr>
            <w:t>十四、国有资本经营预算财政拨款支出决算表</w:t>
          </w:r>
          <w:r>
            <w:rPr>
              <w:rFonts w:hint="eastAsia"/>
              <w:sz w:val="24"/>
            </w:rPr>
            <w:tab/>
          </w:r>
          <w:r>
            <w:rPr>
              <w:rFonts w:hint="eastAsia"/>
              <w:sz w:val="24"/>
            </w:rPr>
            <w:fldChar w:fldCharType="begin"/>
          </w:r>
          <w:r>
            <w:rPr>
              <w:rFonts w:hint="eastAsia"/>
              <w:sz w:val="24"/>
            </w:rPr>
            <w:instrText xml:space="preserve"> PAGEREF _Toc8634 \h </w:instrText>
          </w:r>
          <w:r>
            <w:rPr>
              <w:rFonts w:hint="eastAsia"/>
              <w:sz w:val="24"/>
            </w:rPr>
            <w:fldChar w:fldCharType="separate"/>
          </w:r>
          <w:r>
            <w:rPr>
              <w:rFonts w:hint="eastAsia"/>
              <w:sz w:val="24"/>
            </w:rPr>
            <w:t>18</w:t>
          </w:r>
          <w:r>
            <w:rPr>
              <w:rFonts w:hint="eastAsia"/>
              <w:sz w:val="24"/>
            </w:rPr>
            <w:fldChar w:fldCharType="end"/>
          </w:r>
          <w:r>
            <w:rPr>
              <w:rFonts w:hint="eastAsia"/>
              <w:sz w:val="24"/>
            </w:rPr>
            <w:fldChar w:fldCharType="end"/>
          </w:r>
        </w:p>
        <w:p>
          <w:r>
            <w:rPr>
              <w:b/>
            </w:rPr>
            <w:fldChar w:fldCharType="end"/>
          </w:r>
        </w:p>
      </w:sdtContent>
    </w:sdt>
    <w:p>
      <w:pPr>
        <w:widowControl/>
        <w:spacing w:line="440" w:lineRule="exact"/>
        <w:jc w:val="left"/>
        <w:rPr>
          <w:rFonts w:ascii="仿宋" w:hAnsi="仿宋" w:eastAsia="仿宋"/>
          <w:bCs/>
          <w:kern w:val="44"/>
          <w:sz w:val="24"/>
        </w:rPr>
      </w:pPr>
      <w:bookmarkStart w:id="14" w:name="_Toc15377196"/>
      <w:bookmarkStart w:id="15" w:name="_Toc15396599"/>
      <w:r>
        <w:rPr>
          <w:rFonts w:ascii="仿宋" w:hAnsi="仿宋" w:eastAsia="仿宋"/>
          <w:b/>
          <w:sz w:val="24"/>
        </w:rPr>
        <w:br w:type="page"/>
      </w:r>
    </w:p>
    <w:p>
      <w:pPr>
        <w:pStyle w:val="3"/>
        <w:jc w:val="center"/>
        <w:rPr>
          <w:rStyle w:val="25"/>
          <w:rFonts w:ascii="黑体" w:hAnsi="黑体" w:eastAsia="黑体"/>
          <w:b/>
          <w:bCs w:val="0"/>
        </w:rPr>
      </w:pPr>
      <w:bookmarkStart w:id="16" w:name="_Toc8149"/>
      <w:r>
        <w:rPr>
          <w:rFonts w:hint="eastAsia" w:ascii="黑体" w:hAnsi="黑体" w:eastAsia="黑体"/>
          <w:b w:val="0"/>
        </w:rPr>
        <w:t>第一部分 单位</w:t>
      </w:r>
      <w:r>
        <w:rPr>
          <w:rStyle w:val="25"/>
          <w:rFonts w:hint="eastAsia" w:ascii="黑体" w:hAnsi="黑体" w:eastAsia="黑体"/>
          <w:b w:val="0"/>
          <w:bCs w:val="0"/>
        </w:rPr>
        <w:t>概况</w:t>
      </w:r>
      <w:bookmarkEnd w:id="14"/>
      <w:bookmarkEnd w:id="15"/>
      <w:bookmarkEnd w:id="16"/>
    </w:p>
    <w:p>
      <w:pPr>
        <w:widowControl/>
        <w:jc w:val="left"/>
        <w:rPr>
          <w:rFonts w:ascii="黑体" w:eastAsia="黑体"/>
          <w:sz w:val="32"/>
          <w:szCs w:val="32"/>
        </w:rPr>
      </w:pPr>
    </w:p>
    <w:p>
      <w:pPr>
        <w:pStyle w:val="4"/>
        <w:ind w:firstLine="640" w:firstLineChars="200"/>
        <w:rPr>
          <w:rStyle w:val="26"/>
          <w:rFonts w:ascii="黑体" w:hAnsi="黑体" w:eastAsia="黑体"/>
          <w:b w:val="0"/>
          <w:bCs w:val="0"/>
        </w:rPr>
      </w:pPr>
      <w:bookmarkStart w:id="17" w:name="_Toc28620"/>
      <w:bookmarkStart w:id="18" w:name="_Toc15396600"/>
      <w:bookmarkStart w:id="19" w:name="_Toc15377197"/>
      <w:r>
        <w:rPr>
          <w:rStyle w:val="26"/>
          <w:rFonts w:hint="eastAsia" w:ascii="黑体" w:hAnsi="黑体" w:eastAsia="黑体"/>
          <w:b w:val="0"/>
          <w:bCs w:val="0"/>
        </w:rPr>
        <w:t>一、职能简介</w:t>
      </w:r>
      <w:bookmarkEnd w:id="17"/>
    </w:p>
    <w:p>
      <w:pPr>
        <w:widowControl/>
        <w:adjustRightInd w:val="0"/>
        <w:snapToGrid w:val="0"/>
        <w:spacing w:line="580" w:lineRule="exact"/>
        <w:ind w:firstLine="640" w:firstLineChars="200"/>
        <w:contextualSpacing/>
      </w:pPr>
      <w:r>
        <w:rPr>
          <w:rFonts w:hint="eastAsia" w:ascii="仿宋_GB2312" w:hAnsi="仿宋_GB2312" w:eastAsia="仿宋_GB2312" w:cs="仿宋_GB2312"/>
          <w:color w:val="000000" w:themeColor="text1"/>
          <w:sz w:val="32"/>
          <w:szCs w:val="32"/>
          <w14:textFill>
            <w14:solidFill>
              <w14:schemeClr w14:val="tx1"/>
            </w14:solidFill>
          </w14:textFill>
        </w:rPr>
        <w:t>四川省广播电视科学技术研究所是我省唯一的公益性广播电视技术专业科研机构，是四川省广播电视局直属事业单位。自1978年建所以来，</w:t>
      </w:r>
      <w:r>
        <w:rPr>
          <w:rFonts w:hint="eastAsia" w:ascii="仿宋" w:hAnsi="仿宋" w:eastAsia="仿宋" w:cs="仿宋"/>
          <w:sz w:val="32"/>
          <w:szCs w:val="32"/>
        </w:rPr>
        <w:t>我所坚持为广播电视事业服务，开展广播电视科研工作，承担科研项目，研究试制新产品，提供技术设备，培养科技人员，交流广播电视技术服务经验，为全省广播电视事业建设作出了卓越的贡献。我所始终紧随广播电视事业和产业的发展步伐，坚持以政策为指引，以服务为导向，以客户为中心，立足广电，服务基层，为广播电视系统建设提供技术论证、解决方案、项目咨询</w:t>
      </w:r>
      <w:r>
        <w:rPr>
          <w:rFonts w:ascii="仿宋" w:hAnsi="仿宋" w:eastAsia="仿宋" w:cs="仿宋"/>
          <w:sz w:val="32"/>
          <w:szCs w:val="32"/>
        </w:rPr>
        <w:t>、</w:t>
      </w:r>
      <w:r>
        <w:rPr>
          <w:rFonts w:hint="eastAsia" w:ascii="仿宋" w:hAnsi="仿宋" w:eastAsia="仿宋" w:cs="仿宋"/>
          <w:sz w:val="32"/>
          <w:szCs w:val="32"/>
        </w:rPr>
        <w:t>检验</w:t>
      </w:r>
      <w:r>
        <w:rPr>
          <w:rFonts w:ascii="仿宋" w:hAnsi="仿宋" w:eastAsia="仿宋" w:cs="仿宋"/>
          <w:sz w:val="32"/>
          <w:szCs w:val="32"/>
        </w:rPr>
        <w:t>检测</w:t>
      </w:r>
      <w:r>
        <w:rPr>
          <w:rFonts w:hint="eastAsia" w:ascii="仿宋" w:hAnsi="仿宋" w:eastAsia="仿宋" w:cs="仿宋"/>
          <w:sz w:val="32"/>
          <w:szCs w:val="32"/>
        </w:rPr>
        <w:t>、安装调</w:t>
      </w:r>
      <w:r>
        <w:rPr>
          <w:rFonts w:ascii="仿宋" w:hAnsi="仿宋" w:eastAsia="仿宋" w:cs="仿宋"/>
          <w:sz w:val="32"/>
          <w:szCs w:val="32"/>
        </w:rPr>
        <w:t>试等</w:t>
      </w:r>
      <w:r>
        <w:rPr>
          <w:rFonts w:hint="eastAsia" w:ascii="仿宋" w:hAnsi="仿宋" w:eastAsia="仿宋" w:cs="仿宋"/>
          <w:sz w:val="32"/>
          <w:szCs w:val="32"/>
        </w:rPr>
        <w:t>技术服务。同时，我所还承担了四川省广播电视户户通</w:t>
      </w:r>
      <w:r>
        <w:rPr>
          <w:rFonts w:ascii="仿宋" w:hAnsi="仿宋" w:eastAsia="仿宋" w:cs="仿宋"/>
          <w:sz w:val="32"/>
          <w:szCs w:val="32"/>
        </w:rPr>
        <w:t>设备维修</w:t>
      </w:r>
      <w:r>
        <w:rPr>
          <w:rFonts w:hint="eastAsia" w:ascii="仿宋" w:hAnsi="仿宋" w:eastAsia="仿宋" w:cs="仿宋"/>
          <w:sz w:val="32"/>
          <w:szCs w:val="32"/>
        </w:rPr>
        <w:t>、技术指导、业务培训等公共服务工作，为全省广播电视公共服务体系建设提供全方位的技术支持。</w:t>
      </w:r>
    </w:p>
    <w:p>
      <w:pPr>
        <w:pStyle w:val="4"/>
        <w:ind w:firstLine="640" w:firstLineChars="200"/>
        <w:rPr>
          <w:rFonts w:ascii="黑体" w:hAnsi="黑体" w:eastAsia="黑体"/>
          <w:b w:val="0"/>
        </w:rPr>
      </w:pPr>
      <w:bookmarkStart w:id="20" w:name="_Toc27826"/>
      <w:r>
        <w:rPr>
          <w:rFonts w:hint="eastAsia" w:ascii="黑体" w:hAnsi="黑体" w:eastAsia="黑体"/>
          <w:b w:val="0"/>
        </w:rPr>
        <w:t>二、2021年重点工作</w:t>
      </w:r>
      <w:bookmarkEnd w:id="18"/>
      <w:bookmarkEnd w:id="19"/>
      <w:r>
        <w:rPr>
          <w:rFonts w:hint="eastAsia" w:ascii="黑体" w:hAnsi="黑体" w:eastAsia="黑体"/>
          <w:b w:val="0"/>
        </w:rPr>
        <w:t>完成情况</w:t>
      </w:r>
      <w:bookmarkEnd w:id="20"/>
    </w:p>
    <w:p>
      <w:pPr>
        <w:spacing w:line="600" w:lineRule="exact"/>
        <w:ind w:firstLine="640" w:firstLineChars="200"/>
        <w:rPr>
          <w:rFonts w:ascii="仿宋" w:hAnsi="仿宋" w:eastAsia="仿宋"/>
          <w:sz w:val="32"/>
          <w:szCs w:val="32"/>
        </w:rPr>
      </w:pPr>
      <w:r>
        <w:rPr>
          <w:rFonts w:hint="eastAsia" w:ascii="仿宋" w:hAnsi="仿宋" w:eastAsia="仿宋"/>
          <w:sz w:val="32"/>
          <w:szCs w:val="32"/>
        </w:rPr>
        <w:t>1．根据国家广播电视政策，把握广播电视发展方向，运用广播电视最新技术，参与省、市（州）和县级广播电视规划（方案）的编制、勘测和设计工作，参与全省应急广播项目建设和地面无线数字电视覆盖项目建设。</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2．做好广播电视户户通设备的技术维修服务、用户管理服务、技术指导服务，为保障了全省广播电视基本公共服务提供了强有力的技术支撑。</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3．积极参与全省、全国的应急广播项目建设，为应急广播体系建设提供关键设备、提供成套的解决方案，我所研制的产品和技术深受客户和广电同行的广泛认可。</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4.完成了2021年度省级科研院所科技成果转化项目的研发工作，完成了2</w:t>
      </w:r>
      <w:r>
        <w:rPr>
          <w:rFonts w:ascii="仿宋" w:hAnsi="仿宋" w:eastAsia="仿宋"/>
          <w:sz w:val="32"/>
          <w:szCs w:val="32"/>
        </w:rPr>
        <w:t>021</w:t>
      </w:r>
      <w:r>
        <w:rPr>
          <w:rFonts w:hint="eastAsia" w:ascii="仿宋" w:hAnsi="仿宋" w:eastAsia="仿宋"/>
          <w:sz w:val="32"/>
          <w:szCs w:val="32"/>
        </w:rPr>
        <w:t>年度广播电视基本科研项目的研发工作，完成了广播电视科研经费项目的研发任务，其科研成果在全省和全国的广播电视项目建设中得到推广应用，申报了多项发明专利、</w:t>
      </w:r>
      <w:r>
        <w:rPr>
          <w:rFonts w:ascii="仿宋" w:hAnsi="仿宋" w:eastAsia="仿宋"/>
          <w:sz w:val="32"/>
          <w:szCs w:val="32"/>
        </w:rPr>
        <w:t>实用</w:t>
      </w:r>
      <w:r>
        <w:rPr>
          <w:rFonts w:hint="eastAsia" w:ascii="仿宋" w:hAnsi="仿宋" w:eastAsia="仿宋"/>
          <w:sz w:val="32"/>
          <w:szCs w:val="32"/>
        </w:rPr>
        <w:t>新型专利</w:t>
      </w:r>
      <w:r>
        <w:rPr>
          <w:rFonts w:ascii="仿宋" w:hAnsi="仿宋" w:eastAsia="仿宋"/>
          <w:sz w:val="32"/>
          <w:szCs w:val="32"/>
        </w:rPr>
        <w:t>和</w:t>
      </w:r>
      <w:r>
        <w:rPr>
          <w:rFonts w:hint="eastAsia" w:ascii="仿宋" w:hAnsi="仿宋" w:eastAsia="仿宋"/>
          <w:sz w:val="32"/>
          <w:szCs w:val="32"/>
        </w:rPr>
        <w:t>计算机软件</w:t>
      </w:r>
      <w:r>
        <w:rPr>
          <w:rFonts w:ascii="仿宋" w:hAnsi="仿宋" w:eastAsia="仿宋"/>
          <w:sz w:val="32"/>
          <w:szCs w:val="32"/>
        </w:rPr>
        <w:t>著作权登记</w:t>
      </w:r>
      <w:r>
        <w:rPr>
          <w:rFonts w:hint="eastAsia" w:ascii="仿宋" w:hAnsi="仿宋" w:eastAsia="仿宋"/>
          <w:sz w:val="32"/>
          <w:szCs w:val="32"/>
        </w:rPr>
        <w:t>。</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5.筹建应急广播技术研究室、视听技术研究室、网络技术研究室、融合媒体技术研究室，分别在应急广播技术标准、高新视频技术应用、</w:t>
      </w:r>
      <w:r>
        <w:rPr>
          <w:rFonts w:hint="eastAsia" w:ascii="仿宋" w:hAnsi="仿宋" w:eastAsia="仿宋"/>
          <w:sz w:val="32"/>
          <w:szCs w:val="32"/>
          <w:lang w:val="zh-CN"/>
        </w:rPr>
        <w:t>广电5G网络技术应用、媒体融合技术、区块链技术等方面开展</w:t>
      </w:r>
      <w:r>
        <w:rPr>
          <w:rFonts w:hint="eastAsia" w:ascii="仿宋" w:hAnsi="仿宋" w:eastAsia="仿宋"/>
          <w:sz w:val="32"/>
          <w:szCs w:val="32"/>
        </w:rPr>
        <w:t>研究工作。</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6.为国</w:t>
      </w:r>
      <w:r>
        <w:rPr>
          <w:rFonts w:ascii="仿宋" w:hAnsi="仿宋" w:eastAsia="仿宋"/>
          <w:sz w:val="32"/>
          <w:szCs w:val="32"/>
        </w:rPr>
        <w:t>家广电总局广播电视科学研究</w:t>
      </w:r>
      <w:r>
        <w:rPr>
          <w:rFonts w:hint="eastAsia" w:ascii="仿宋" w:hAnsi="仿宋" w:eastAsia="仿宋"/>
          <w:sz w:val="32"/>
          <w:szCs w:val="32"/>
        </w:rPr>
        <w:t>院提供“应急广播运维质量分析评价系统四川省试验环境委托搭建技术服务”，完成环境搭建和数据采集，根据数据采集情况，编制总结报告。</w:t>
      </w:r>
    </w:p>
    <w:p>
      <w:pPr>
        <w:pStyle w:val="4"/>
        <w:numPr>
          <w:ilvl w:val="0"/>
          <w:numId w:val="0"/>
        </w:numPr>
        <w:ind w:firstLine="643" w:firstLineChars="200"/>
        <w:rPr>
          <w:rFonts w:hint="eastAsia" w:ascii="黑体" w:hAnsi="黑体" w:eastAsia="黑体" w:cs="黑体"/>
          <w:bCs w:val="0"/>
          <w:sz w:val="32"/>
          <w:szCs w:val="32"/>
          <w:lang w:eastAsia="zh-CN"/>
        </w:rPr>
      </w:pPr>
      <w:bookmarkStart w:id="21" w:name="_Toc18483"/>
      <w:bookmarkStart w:id="22" w:name="_Toc20380"/>
      <w:r>
        <w:rPr>
          <w:rFonts w:hint="eastAsia" w:ascii="黑体" w:hAnsi="黑体" w:eastAsia="黑体" w:cs="黑体"/>
          <w:bCs w:val="0"/>
          <w:sz w:val="32"/>
          <w:szCs w:val="32"/>
          <w:lang w:eastAsia="zh-CN"/>
        </w:rPr>
        <w:t>三、机构设置情况</w:t>
      </w:r>
      <w:bookmarkEnd w:id="21"/>
      <w:bookmarkEnd w:id="22"/>
    </w:p>
    <w:p>
      <w:pPr>
        <w:pStyle w:val="6"/>
        <w:adjustRightInd w:val="0"/>
        <w:snapToGrid w:val="0"/>
        <w:spacing w:before="0" w:beforeLines="0" w:after="0" w:afterAutospacing="0" w:line="620" w:lineRule="exact"/>
        <w:ind w:firstLine="640" w:firstLineChars="200"/>
        <w:outlineLvl w:val="2"/>
      </w:pPr>
      <w:r>
        <w:rPr>
          <w:rFonts w:hint="eastAsia" w:ascii="仿宋_GB2312" w:hAnsi="仿宋_GB2312" w:eastAsia="仿宋_GB2312" w:cs="仿宋_GB2312"/>
          <w:bCs/>
          <w:color w:val="000000" w:themeColor="text1"/>
          <w:sz w:val="32"/>
          <w:szCs w:val="32"/>
          <w14:textFill>
            <w14:solidFill>
              <w14:schemeClr w14:val="tx1"/>
            </w14:solidFill>
          </w14:textFill>
        </w:rPr>
        <w:t>四川省广播电视科学技术研究所</w:t>
      </w:r>
      <w:r>
        <w:rPr>
          <w:rFonts w:hint="eastAsia" w:hAnsi="仿宋_GB2312" w:cs="仿宋_GB2312"/>
          <w:bCs/>
          <w:color w:val="000000" w:themeColor="text1"/>
          <w:sz w:val="32"/>
          <w:szCs w:val="32"/>
          <w:lang w:eastAsia="zh-CN"/>
          <w14:textFill>
            <w14:solidFill>
              <w14:schemeClr w14:val="tx1"/>
            </w14:solidFill>
          </w14:textFill>
        </w:rPr>
        <w:t>由六个部门组成，分别是：</w:t>
      </w:r>
      <w:r>
        <w:rPr>
          <w:rFonts w:hint="eastAsia" w:ascii="仿宋_GB2312" w:hAnsi="仿宋_GB2312" w:eastAsia="仿宋_GB2312" w:cs="仿宋_GB2312"/>
          <w:bCs/>
          <w:color w:val="000000" w:themeColor="text1"/>
          <w:sz w:val="32"/>
          <w:szCs w:val="32"/>
          <w14:textFill>
            <w14:solidFill>
              <w14:schemeClr w14:val="tx1"/>
            </w14:solidFill>
          </w14:textFill>
        </w:rPr>
        <w:t>办公室</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14:textFill>
            <w14:solidFill>
              <w14:schemeClr w14:val="tx1"/>
            </w14:solidFill>
          </w14:textFill>
        </w:rPr>
        <w:t>规划财务部</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14:textFill>
            <w14:solidFill>
              <w14:schemeClr w14:val="tx1"/>
            </w14:solidFill>
          </w14:textFill>
        </w:rPr>
        <w:t>科技管理部</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14:textFill>
            <w14:solidFill>
              <w14:schemeClr w14:val="tx1"/>
            </w14:solidFill>
          </w14:textFill>
        </w:rPr>
        <w:t>研发中心</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14:textFill>
            <w14:solidFill>
              <w14:schemeClr w14:val="tx1"/>
            </w14:solidFill>
          </w14:textFill>
        </w:rPr>
        <w:t>应用推广部</w:t>
      </w:r>
      <w:r>
        <w:rPr>
          <w:rFonts w:hint="eastAsia" w:hAnsi="仿宋_GB2312" w:cs="仿宋_GB2312"/>
          <w:bCs/>
          <w:color w:val="000000" w:themeColor="text1"/>
          <w:sz w:val="32"/>
          <w:szCs w:val="32"/>
          <w:lang w:eastAsia="zh-CN"/>
          <w14:textFill>
            <w14:solidFill>
              <w14:schemeClr w14:val="tx1"/>
            </w14:solidFill>
          </w14:textFill>
        </w:rPr>
        <w:t>及</w:t>
      </w:r>
      <w:r>
        <w:rPr>
          <w:rFonts w:hint="eastAsia" w:ascii="仿宋_GB2312" w:hAnsi="仿宋_GB2312" w:eastAsia="仿宋_GB2312" w:cs="仿宋_GB2312"/>
          <w:bCs/>
          <w:color w:val="000000" w:themeColor="text1"/>
          <w:sz w:val="32"/>
          <w:szCs w:val="32"/>
          <w14:textFill>
            <w14:solidFill>
              <w14:schemeClr w14:val="tx1"/>
            </w14:solidFill>
          </w14:textFill>
        </w:rPr>
        <w:t>技术服务部</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w:t>
      </w:r>
    </w:p>
    <w:p>
      <w:pPr>
        <w:widowControl/>
        <w:jc w:val="left"/>
        <w:rPr>
          <w:rFonts w:ascii="仿宋" w:hAnsi="仿宋" w:eastAsia="仿宋"/>
          <w:kern w:val="0"/>
          <w:sz w:val="32"/>
          <w:szCs w:val="32"/>
        </w:rPr>
      </w:pPr>
      <w:r>
        <w:rPr>
          <w:rFonts w:ascii="仿宋" w:hAnsi="仿宋" w:eastAsia="仿宋"/>
          <w:sz w:val="32"/>
          <w:szCs w:val="32"/>
        </w:rPr>
        <w:br w:type="page"/>
      </w:r>
    </w:p>
    <w:p>
      <w:pPr>
        <w:pStyle w:val="3"/>
        <w:ind w:right="-58"/>
        <w:jc w:val="center"/>
        <w:rPr>
          <w:rStyle w:val="25"/>
          <w:rFonts w:ascii="黑体" w:hAnsi="黑体" w:eastAsia="黑体"/>
          <w:b w:val="0"/>
          <w:bCs/>
        </w:rPr>
      </w:pPr>
      <w:bookmarkStart w:id="23" w:name="_Toc15377204"/>
      <w:bookmarkStart w:id="24" w:name="_Toc11786"/>
      <w:bookmarkStart w:id="25" w:name="_Toc15396602"/>
      <w:r>
        <w:rPr>
          <w:rFonts w:hint="eastAsia" w:ascii="黑体" w:hAnsi="黑体" w:eastAsia="黑体"/>
          <w:b w:val="0"/>
        </w:rPr>
        <w:t>第二部分 2021年度</w:t>
      </w:r>
      <w:r>
        <w:rPr>
          <w:rStyle w:val="25"/>
          <w:rFonts w:hint="eastAsia" w:ascii="黑体" w:hAnsi="黑体" w:eastAsia="黑体"/>
          <w:b w:val="0"/>
          <w:bCs/>
        </w:rPr>
        <w:t>单位决算情况说明</w:t>
      </w:r>
      <w:bookmarkEnd w:id="23"/>
      <w:bookmarkEnd w:id="24"/>
      <w:bookmarkEnd w:id="25"/>
    </w:p>
    <w:p/>
    <w:p>
      <w:pPr>
        <w:pStyle w:val="24"/>
        <w:numPr>
          <w:ilvl w:val="0"/>
          <w:numId w:val="1"/>
        </w:numPr>
        <w:spacing w:line="600" w:lineRule="exact"/>
        <w:ind w:firstLineChars="0"/>
        <w:outlineLvl w:val="1"/>
        <w:rPr>
          <w:rStyle w:val="26"/>
          <w:rFonts w:ascii="黑体" w:hAnsi="黑体" w:eastAsia="黑体"/>
          <w:b w:val="0"/>
        </w:rPr>
      </w:pPr>
      <w:bookmarkStart w:id="26" w:name="_Toc15377205"/>
      <w:bookmarkStart w:id="27" w:name="_Toc15396603"/>
      <w:bookmarkStart w:id="28" w:name="_Toc1685"/>
      <w:r>
        <w:rPr>
          <w:rFonts w:hint="eastAsia" w:ascii="黑体" w:hAnsi="黑体" w:eastAsia="黑体"/>
          <w:sz w:val="32"/>
          <w:szCs w:val="32"/>
        </w:rPr>
        <w:t>收</w:t>
      </w:r>
      <w:r>
        <w:rPr>
          <w:rStyle w:val="26"/>
          <w:rFonts w:hint="eastAsia" w:ascii="黑体" w:hAnsi="黑体" w:eastAsia="黑体"/>
          <w:b w:val="0"/>
        </w:rPr>
        <w:t>入支出决算总体情况说明</w:t>
      </w:r>
      <w:bookmarkEnd w:id="26"/>
      <w:bookmarkEnd w:id="27"/>
      <w:bookmarkEnd w:id="28"/>
    </w:p>
    <w:p>
      <w:pPr>
        <w:spacing w:line="600" w:lineRule="exact"/>
        <w:ind w:firstLine="640" w:firstLineChars="200"/>
        <w:rPr>
          <w:rFonts w:ascii="仿宋" w:hAnsi="仿宋" w:eastAsia="仿宋"/>
          <w:sz w:val="32"/>
          <w:szCs w:val="32"/>
        </w:rPr>
      </w:pPr>
      <w:r>
        <w:rPr>
          <w:rFonts w:hint="eastAsia" w:ascii="仿宋" w:hAnsi="仿宋" w:eastAsia="仿宋"/>
          <w:sz w:val="32"/>
          <w:szCs w:val="32"/>
        </w:rPr>
        <w:t>2021年度收、支总计均</w:t>
      </w:r>
      <w:r>
        <w:rPr>
          <w:rFonts w:ascii="仿宋" w:hAnsi="仿宋" w:eastAsia="仿宋"/>
          <w:sz w:val="32"/>
          <w:szCs w:val="32"/>
        </w:rPr>
        <w:t>为</w:t>
      </w:r>
      <w:r>
        <w:rPr>
          <w:rFonts w:hint="eastAsia" w:ascii="仿宋" w:hAnsi="仿宋" w:eastAsia="仿宋"/>
          <w:sz w:val="32"/>
          <w:szCs w:val="32"/>
        </w:rPr>
        <w:t>891.31万元。与2020年相比，收、支总计各减少185.98万元，下降17.26</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color w:val="000000" w:themeColor="text1"/>
          <w:sz w:val="32"/>
          <w:szCs w:val="32"/>
          <w14:textFill>
            <w14:solidFill>
              <w14:schemeClr w14:val="tx1"/>
            </w14:solidFill>
          </w14:textFill>
        </w:rPr>
        <w:t>受新冠肺炎疫情影响，</w:t>
      </w:r>
      <w:r>
        <w:rPr>
          <w:rFonts w:hint="eastAsia" w:ascii="仿宋" w:hAnsi="仿宋" w:eastAsia="仿宋"/>
          <w:sz w:val="32"/>
          <w:szCs w:val="32"/>
        </w:rPr>
        <w:t>经营收入和支出减少。</w:t>
      </w:r>
    </w:p>
    <w:p>
      <w:pPr>
        <w:pStyle w:val="6"/>
        <w:spacing w:before="93"/>
        <w:jc w:val="center"/>
      </w:pPr>
      <w:r>
        <w:drawing>
          <wp:inline distT="0" distB="0" distL="114300" distR="114300">
            <wp:extent cx="4572000" cy="3362325"/>
            <wp:effectExtent l="4445" t="4445" r="14605" b="508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spacing w:line="600" w:lineRule="exact"/>
        <w:ind w:firstLine="640" w:firstLineChars="200"/>
        <w:jc w:val="left"/>
        <w:rPr>
          <w:rFonts w:ascii="仿宋_GB2312" w:eastAsia="仿宋_GB2312"/>
          <w:sz w:val="32"/>
          <w:szCs w:val="32"/>
        </w:rPr>
      </w:pPr>
    </w:p>
    <w:p>
      <w:pPr>
        <w:pStyle w:val="24"/>
        <w:numPr>
          <w:ilvl w:val="0"/>
          <w:numId w:val="1"/>
        </w:numPr>
        <w:spacing w:line="600" w:lineRule="exact"/>
        <w:ind w:firstLineChars="0"/>
        <w:outlineLvl w:val="1"/>
        <w:rPr>
          <w:rStyle w:val="26"/>
          <w:rFonts w:ascii="黑体" w:hAnsi="黑体" w:eastAsia="黑体"/>
          <w:b w:val="0"/>
        </w:rPr>
      </w:pPr>
      <w:bookmarkStart w:id="29" w:name="_Toc15377206"/>
      <w:bookmarkStart w:id="30" w:name="_Toc15396604"/>
      <w:bookmarkStart w:id="31" w:name="_Toc6441"/>
      <w:r>
        <w:rPr>
          <w:rFonts w:hint="eastAsia" w:ascii="黑体" w:hAnsi="黑体" w:eastAsia="黑体"/>
          <w:sz w:val="32"/>
          <w:szCs w:val="32"/>
        </w:rPr>
        <w:t>收</w:t>
      </w:r>
      <w:r>
        <w:rPr>
          <w:rStyle w:val="26"/>
          <w:rFonts w:hint="eastAsia" w:ascii="黑体" w:hAnsi="黑体" w:eastAsia="黑体"/>
          <w:b w:val="0"/>
        </w:rPr>
        <w:t>入决算情况说明</w:t>
      </w:r>
      <w:bookmarkEnd w:id="29"/>
      <w:bookmarkEnd w:id="30"/>
      <w:bookmarkEnd w:id="31"/>
    </w:p>
    <w:p>
      <w:pPr>
        <w:spacing w:line="600" w:lineRule="exact"/>
        <w:ind w:firstLine="640" w:firstLineChars="200"/>
        <w:outlineLvl w:val="1"/>
        <w:rPr>
          <w:rFonts w:ascii="仿宋" w:hAnsi="仿宋" w:eastAsia="仿宋"/>
          <w:sz w:val="32"/>
          <w:szCs w:val="32"/>
        </w:rPr>
      </w:pPr>
      <w:bookmarkStart w:id="32" w:name="_Toc30464"/>
      <w:r>
        <w:rPr>
          <w:rFonts w:ascii="仿宋" w:hAnsi="仿宋" w:eastAsia="仿宋"/>
          <w:sz w:val="32"/>
          <w:szCs w:val="32"/>
        </w:rPr>
        <w:t>20</w:t>
      </w:r>
      <w:r>
        <w:rPr>
          <w:rFonts w:hint="eastAsia" w:ascii="仿宋" w:hAnsi="仿宋" w:eastAsia="仿宋"/>
          <w:sz w:val="32"/>
          <w:szCs w:val="32"/>
        </w:rPr>
        <w:t>21年本年收入合计971.13万元，其中：一般公共预算财政拨款收入610.89万元，占62.91</w:t>
      </w:r>
      <w:r>
        <w:rPr>
          <w:rFonts w:ascii="仿宋" w:hAnsi="仿宋" w:eastAsia="仿宋"/>
          <w:sz w:val="32"/>
          <w:szCs w:val="32"/>
        </w:rPr>
        <w:t>%</w:t>
      </w:r>
      <w:r>
        <w:rPr>
          <w:rFonts w:hint="eastAsia" w:ascii="仿宋" w:hAnsi="仿宋" w:eastAsia="仿宋"/>
          <w:sz w:val="32"/>
          <w:szCs w:val="32"/>
        </w:rPr>
        <w:t>；经营收入360.24万元，占37.09</w:t>
      </w:r>
      <w:r>
        <w:rPr>
          <w:rFonts w:ascii="仿宋" w:hAnsi="仿宋" w:eastAsia="仿宋"/>
          <w:sz w:val="32"/>
          <w:szCs w:val="32"/>
        </w:rPr>
        <w:t>%</w:t>
      </w:r>
      <w:r>
        <w:rPr>
          <w:rFonts w:hint="eastAsia" w:ascii="仿宋" w:hAnsi="仿宋" w:eastAsia="仿宋"/>
          <w:sz w:val="32"/>
          <w:szCs w:val="32"/>
        </w:rPr>
        <w:t>。</w:t>
      </w:r>
      <w:bookmarkEnd w:id="32"/>
    </w:p>
    <w:p>
      <w:pPr>
        <w:pStyle w:val="6"/>
        <w:spacing w:before="93"/>
        <w:jc w:val="center"/>
      </w:pPr>
      <w:r>
        <w:drawing>
          <wp:inline distT="0" distB="0" distL="114300" distR="114300">
            <wp:extent cx="4572000" cy="2743200"/>
            <wp:effectExtent l="4445" t="4445" r="14605" b="14605"/>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600" w:lineRule="exact"/>
        <w:rPr>
          <w:rFonts w:ascii="仿宋_GB2312" w:eastAsia="仿宋_GB2312"/>
          <w:sz w:val="32"/>
          <w:szCs w:val="32"/>
        </w:rPr>
      </w:pPr>
    </w:p>
    <w:p>
      <w:pPr>
        <w:pStyle w:val="24"/>
        <w:numPr>
          <w:ilvl w:val="0"/>
          <w:numId w:val="1"/>
        </w:numPr>
        <w:spacing w:line="600" w:lineRule="exact"/>
        <w:ind w:firstLineChars="0"/>
        <w:outlineLvl w:val="1"/>
        <w:rPr>
          <w:rStyle w:val="26"/>
          <w:rFonts w:ascii="黑体" w:hAnsi="黑体" w:eastAsia="黑体"/>
          <w:b w:val="0"/>
        </w:rPr>
      </w:pPr>
      <w:bookmarkStart w:id="33" w:name="_Toc8720"/>
      <w:bookmarkStart w:id="34" w:name="_Toc15396605"/>
      <w:bookmarkStart w:id="35" w:name="_Toc15377207"/>
      <w:r>
        <w:rPr>
          <w:rFonts w:hint="eastAsia" w:ascii="黑体" w:hAnsi="黑体" w:eastAsia="黑体"/>
          <w:sz w:val="32"/>
          <w:szCs w:val="32"/>
        </w:rPr>
        <w:t>支</w:t>
      </w:r>
      <w:r>
        <w:rPr>
          <w:rStyle w:val="26"/>
          <w:rFonts w:hint="eastAsia" w:ascii="黑体" w:hAnsi="黑体" w:eastAsia="黑体"/>
          <w:b w:val="0"/>
        </w:rPr>
        <w:t>出决算情况说明</w:t>
      </w:r>
      <w:bookmarkEnd w:id="33"/>
      <w:bookmarkEnd w:id="34"/>
      <w:bookmarkEnd w:id="35"/>
    </w:p>
    <w:p>
      <w:pPr>
        <w:spacing w:line="600" w:lineRule="exact"/>
        <w:ind w:firstLine="640" w:firstLineChars="200"/>
        <w:outlineLvl w:val="1"/>
        <w:rPr>
          <w:rFonts w:ascii="仿宋" w:hAnsi="仿宋" w:eastAsia="仿宋"/>
          <w:sz w:val="32"/>
          <w:szCs w:val="32"/>
        </w:rPr>
      </w:pPr>
      <w:bookmarkStart w:id="36" w:name="_Toc14072"/>
      <w:r>
        <w:rPr>
          <w:rFonts w:ascii="仿宋" w:hAnsi="仿宋" w:eastAsia="仿宋"/>
          <w:sz w:val="32"/>
          <w:szCs w:val="32"/>
        </w:rPr>
        <w:t>20</w:t>
      </w:r>
      <w:r>
        <w:rPr>
          <w:rFonts w:hint="eastAsia" w:ascii="仿宋" w:hAnsi="仿宋" w:eastAsia="仿宋"/>
          <w:sz w:val="32"/>
          <w:szCs w:val="32"/>
        </w:rPr>
        <w:t>21年本年支出合计1117万元，其中：基本支出253.78万元，占22.72</w:t>
      </w:r>
      <w:r>
        <w:rPr>
          <w:rFonts w:ascii="仿宋" w:hAnsi="仿宋" w:eastAsia="仿宋"/>
          <w:sz w:val="32"/>
          <w:szCs w:val="32"/>
        </w:rPr>
        <w:t>%</w:t>
      </w:r>
      <w:r>
        <w:rPr>
          <w:rFonts w:hint="eastAsia" w:ascii="仿宋" w:hAnsi="仿宋" w:eastAsia="仿宋"/>
          <w:sz w:val="32"/>
          <w:szCs w:val="32"/>
        </w:rPr>
        <w:t>；项目支出357.11万元，占31.97</w:t>
      </w:r>
      <w:r>
        <w:rPr>
          <w:rFonts w:ascii="仿宋" w:hAnsi="仿宋" w:eastAsia="仿宋"/>
          <w:sz w:val="32"/>
          <w:szCs w:val="32"/>
        </w:rPr>
        <w:t>%</w:t>
      </w:r>
      <w:r>
        <w:rPr>
          <w:rFonts w:hint="eastAsia" w:ascii="仿宋" w:hAnsi="仿宋" w:eastAsia="仿宋"/>
          <w:sz w:val="32"/>
          <w:szCs w:val="32"/>
        </w:rPr>
        <w:t>；经营支出506.11万元，占45.31</w:t>
      </w:r>
      <w:r>
        <w:rPr>
          <w:rFonts w:ascii="仿宋" w:hAnsi="仿宋" w:eastAsia="仿宋"/>
          <w:sz w:val="32"/>
          <w:szCs w:val="32"/>
        </w:rPr>
        <w:t>%</w:t>
      </w:r>
      <w:r>
        <w:rPr>
          <w:rFonts w:hint="eastAsia" w:ascii="仿宋" w:hAnsi="仿宋" w:eastAsia="仿宋"/>
          <w:sz w:val="32"/>
          <w:szCs w:val="32"/>
        </w:rPr>
        <w:t>。</w:t>
      </w:r>
      <w:bookmarkEnd w:id="36"/>
    </w:p>
    <w:p>
      <w:pPr>
        <w:jc w:val="center"/>
      </w:pPr>
      <w:r>
        <w:drawing>
          <wp:inline distT="0" distB="0" distL="114300" distR="114300">
            <wp:extent cx="4572000" cy="2743200"/>
            <wp:effectExtent l="4445" t="4445" r="14605" b="14605"/>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ind w:firstLine="640" w:firstLineChars="200"/>
        <w:rPr>
          <w:rFonts w:ascii="仿宋_GB2312" w:eastAsia="仿宋_GB2312"/>
          <w:sz w:val="32"/>
          <w:szCs w:val="32"/>
        </w:rPr>
      </w:pPr>
    </w:p>
    <w:p>
      <w:pPr>
        <w:spacing w:line="600" w:lineRule="exact"/>
        <w:ind w:firstLine="640" w:firstLineChars="200"/>
        <w:outlineLvl w:val="1"/>
        <w:rPr>
          <w:rStyle w:val="26"/>
          <w:rFonts w:ascii="黑体" w:hAnsi="黑体" w:eastAsia="黑体"/>
          <w:b w:val="0"/>
        </w:rPr>
      </w:pPr>
      <w:bookmarkStart w:id="37" w:name="_Toc15377208"/>
      <w:bookmarkStart w:id="38" w:name="_Toc4539"/>
      <w:bookmarkStart w:id="39" w:name="_Toc15396606"/>
      <w:r>
        <w:rPr>
          <w:rFonts w:hint="eastAsia" w:ascii="黑体" w:hAnsi="黑体" w:eastAsia="黑体"/>
          <w:sz w:val="32"/>
          <w:szCs w:val="32"/>
        </w:rPr>
        <w:t>四、财</w:t>
      </w:r>
      <w:r>
        <w:rPr>
          <w:rStyle w:val="26"/>
          <w:rFonts w:hint="eastAsia" w:ascii="黑体" w:hAnsi="黑体" w:eastAsia="黑体"/>
          <w:b w:val="0"/>
        </w:rPr>
        <w:t>政拨款收入支出决算总体情况说明</w:t>
      </w:r>
      <w:bookmarkEnd w:id="37"/>
      <w:bookmarkEnd w:id="38"/>
      <w:bookmarkEnd w:id="39"/>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21年财政拨款收、支总计610.89万元。与</w:t>
      </w:r>
      <w:r>
        <w:rPr>
          <w:rFonts w:ascii="仿宋" w:hAnsi="仿宋" w:eastAsia="仿宋"/>
          <w:sz w:val="32"/>
          <w:szCs w:val="32"/>
        </w:rPr>
        <w:t>20</w:t>
      </w:r>
      <w:r>
        <w:rPr>
          <w:rFonts w:hint="eastAsia" w:ascii="仿宋" w:hAnsi="仿宋" w:eastAsia="仿宋"/>
          <w:sz w:val="32"/>
          <w:szCs w:val="32"/>
        </w:rPr>
        <w:t>20年相比，财政拨款收、支总计各减少6.35万元，下降1.03</w:t>
      </w:r>
      <w:r>
        <w:rPr>
          <w:rFonts w:ascii="仿宋" w:hAnsi="仿宋" w:eastAsia="仿宋"/>
          <w:sz w:val="32"/>
          <w:szCs w:val="32"/>
        </w:rPr>
        <w:t>%</w:t>
      </w:r>
      <w:r>
        <w:rPr>
          <w:rFonts w:hint="eastAsia" w:ascii="仿宋" w:hAnsi="仿宋" w:eastAsia="仿宋"/>
          <w:sz w:val="32"/>
          <w:szCs w:val="32"/>
        </w:rPr>
        <w:t>。主要变动原因是科研经费减少。</w:t>
      </w:r>
    </w:p>
    <w:p>
      <w:pPr>
        <w:jc w:val="center"/>
      </w:pPr>
      <w:r>
        <w:drawing>
          <wp:inline distT="0" distB="0" distL="114300" distR="114300">
            <wp:extent cx="4572000" cy="2743200"/>
            <wp:effectExtent l="4445" t="4445" r="14605" b="14605"/>
            <wp:docPr id="1"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0"/>
        <w:rPr>
          <w:rFonts w:ascii="仿宋" w:hAnsi="仿宋" w:eastAsia="仿宋"/>
          <w:b/>
          <w:sz w:val="32"/>
          <w:szCs w:val="32"/>
        </w:rPr>
      </w:pPr>
    </w:p>
    <w:p>
      <w:pPr>
        <w:spacing w:line="600" w:lineRule="exact"/>
        <w:ind w:firstLine="640" w:firstLineChars="200"/>
        <w:outlineLvl w:val="1"/>
        <w:rPr>
          <w:rStyle w:val="26"/>
          <w:rFonts w:ascii="黑体" w:hAnsi="黑体" w:eastAsia="黑体"/>
          <w:b w:val="0"/>
        </w:rPr>
      </w:pPr>
      <w:bookmarkStart w:id="40" w:name="_Toc26762"/>
      <w:bookmarkStart w:id="41" w:name="_Toc15396607"/>
      <w:bookmarkStart w:id="42" w:name="_Toc15377209"/>
      <w:r>
        <w:rPr>
          <w:rFonts w:hint="eastAsia" w:ascii="黑体" w:hAnsi="黑体" w:eastAsia="黑体"/>
          <w:sz w:val="32"/>
          <w:szCs w:val="32"/>
        </w:rPr>
        <w:t>五、</w:t>
      </w:r>
      <w:r>
        <w:rPr>
          <w:rFonts w:hint="eastAsia" w:ascii="黑体" w:hAnsi="黑体" w:eastAsia="黑体"/>
          <w:b/>
          <w:sz w:val="32"/>
          <w:szCs w:val="32"/>
        </w:rPr>
        <w:t>一</w:t>
      </w:r>
      <w:r>
        <w:rPr>
          <w:rStyle w:val="26"/>
          <w:rFonts w:hint="eastAsia" w:ascii="黑体" w:hAnsi="黑体" w:eastAsia="黑体"/>
          <w:b w:val="0"/>
        </w:rPr>
        <w:t>般公共预算财政拨款支出决算情况说明</w:t>
      </w:r>
      <w:bookmarkEnd w:id="40"/>
      <w:bookmarkEnd w:id="41"/>
      <w:bookmarkEnd w:id="42"/>
    </w:p>
    <w:p>
      <w:pPr>
        <w:spacing w:line="600" w:lineRule="exact"/>
        <w:ind w:firstLine="643" w:firstLineChars="200"/>
        <w:outlineLvl w:val="2"/>
        <w:rPr>
          <w:rFonts w:ascii="仿宋" w:hAnsi="仿宋" w:eastAsia="仿宋"/>
          <w:b/>
          <w:sz w:val="32"/>
          <w:szCs w:val="32"/>
        </w:rPr>
      </w:pPr>
      <w:bookmarkStart w:id="43" w:name="_Toc15377210"/>
      <w:r>
        <w:rPr>
          <w:rFonts w:hint="eastAsia" w:ascii="仿宋" w:hAnsi="仿宋" w:eastAsia="仿宋"/>
          <w:b/>
          <w:sz w:val="32"/>
          <w:szCs w:val="32"/>
        </w:rPr>
        <w:t>（一）一般公共预算财政拨款支出决算总体情况</w:t>
      </w:r>
      <w:bookmarkEnd w:id="43"/>
    </w:p>
    <w:p>
      <w:pPr>
        <w:spacing w:line="600" w:lineRule="exact"/>
        <w:ind w:firstLine="640" w:firstLineChars="20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21年一般公共预算财政拨款支出610.89万元，占本年支出合计的54.69</w:t>
      </w:r>
      <w:r>
        <w:rPr>
          <w:rFonts w:ascii="仿宋" w:hAnsi="仿宋" w:eastAsia="仿宋"/>
          <w:sz w:val="32"/>
          <w:szCs w:val="32"/>
        </w:rPr>
        <w:t>%</w:t>
      </w:r>
      <w:r>
        <w:rPr>
          <w:rFonts w:hint="eastAsia" w:ascii="仿宋" w:hAnsi="仿宋" w:eastAsia="仿宋"/>
          <w:sz w:val="32"/>
          <w:szCs w:val="32"/>
        </w:rPr>
        <w:t>。与</w:t>
      </w:r>
      <w:r>
        <w:rPr>
          <w:rFonts w:ascii="仿宋" w:hAnsi="仿宋" w:eastAsia="仿宋"/>
          <w:sz w:val="32"/>
          <w:szCs w:val="32"/>
        </w:rPr>
        <w:t>20</w:t>
      </w:r>
      <w:r>
        <w:rPr>
          <w:rFonts w:hint="eastAsia" w:ascii="仿宋" w:hAnsi="仿宋" w:eastAsia="仿宋"/>
          <w:sz w:val="32"/>
          <w:szCs w:val="32"/>
        </w:rPr>
        <w:t>20年相比，一般公共预算财政拨款支出减少6.35万元，下降1.03</w:t>
      </w:r>
      <w:r>
        <w:rPr>
          <w:rFonts w:ascii="仿宋" w:hAnsi="仿宋" w:eastAsia="仿宋"/>
          <w:sz w:val="32"/>
          <w:szCs w:val="32"/>
        </w:rPr>
        <w:t>%</w:t>
      </w:r>
      <w:r>
        <w:rPr>
          <w:rFonts w:hint="eastAsia" w:ascii="仿宋" w:hAnsi="仿宋" w:eastAsia="仿宋"/>
          <w:sz w:val="32"/>
          <w:szCs w:val="32"/>
        </w:rPr>
        <w:t>。主要变动原因是科研经费减少。</w:t>
      </w:r>
    </w:p>
    <w:p>
      <w:pPr>
        <w:jc w:val="center"/>
      </w:pPr>
      <w:r>
        <w:drawing>
          <wp:inline distT="0" distB="0" distL="114300" distR="114300">
            <wp:extent cx="4904740" cy="2559685"/>
            <wp:effectExtent l="4445" t="4445" r="5715" b="7620"/>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3" w:firstLineChars="200"/>
        <w:outlineLvl w:val="2"/>
        <w:rPr>
          <w:rFonts w:ascii="仿宋" w:hAnsi="仿宋" w:eastAsia="仿宋"/>
          <w:b/>
          <w:sz w:val="32"/>
          <w:szCs w:val="32"/>
        </w:rPr>
      </w:pPr>
      <w:bookmarkStart w:id="44" w:name="_Toc15377211"/>
      <w:r>
        <w:rPr>
          <w:rFonts w:hint="eastAsia" w:ascii="仿宋" w:hAnsi="仿宋" w:eastAsia="仿宋"/>
          <w:b/>
          <w:sz w:val="32"/>
          <w:szCs w:val="32"/>
        </w:rPr>
        <w:t>（二）一般公共预算财政拨款支出决算结构情况</w:t>
      </w:r>
      <w:bookmarkEnd w:id="44"/>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21年一般公共预算财政拨款支出610.89万元，主要用于以下方面</w:t>
      </w:r>
      <w:r>
        <w:rPr>
          <w:rFonts w:ascii="仿宋" w:hAnsi="仿宋" w:eastAsia="仿宋"/>
          <w:sz w:val="32"/>
          <w:szCs w:val="32"/>
        </w:rPr>
        <w:t>:</w:t>
      </w:r>
      <w:r>
        <w:rPr>
          <w:rFonts w:hint="eastAsia" w:ascii="仿宋" w:hAnsi="仿宋" w:eastAsia="仿宋"/>
          <w:sz w:val="32"/>
          <w:szCs w:val="32"/>
        </w:rPr>
        <w:t>教育支出（类）0.5万元，占0.08</w:t>
      </w:r>
      <w:r>
        <w:rPr>
          <w:rFonts w:ascii="仿宋" w:hAnsi="仿宋" w:eastAsia="仿宋"/>
          <w:sz w:val="32"/>
          <w:szCs w:val="32"/>
        </w:rPr>
        <w:t>%</w:t>
      </w:r>
      <w:r>
        <w:rPr>
          <w:rFonts w:hint="eastAsia" w:ascii="仿宋" w:hAnsi="仿宋" w:eastAsia="仿宋"/>
          <w:sz w:val="32"/>
          <w:szCs w:val="32"/>
        </w:rPr>
        <w:t>；科学技术（类）支出328.4万元，占53.76</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Cs/>
          <w:sz w:val="32"/>
          <w:szCs w:val="32"/>
        </w:rPr>
        <w:t>文化旅游体育与传媒（类）支出209.01万元，占34.21</w:t>
      </w:r>
      <w:r>
        <w:rPr>
          <w:rFonts w:ascii="仿宋" w:hAnsi="仿宋" w:eastAsia="仿宋"/>
          <w:bCs/>
          <w:sz w:val="32"/>
          <w:szCs w:val="32"/>
        </w:rPr>
        <w:t>%</w:t>
      </w:r>
      <w:r>
        <w:rPr>
          <w:rFonts w:hint="eastAsia" w:ascii="仿宋" w:hAnsi="仿宋" w:eastAsia="仿宋"/>
          <w:sz w:val="32"/>
          <w:szCs w:val="32"/>
        </w:rPr>
        <w:t>；社会保障和就业（类）支出56.77万元，占9.29</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Cs/>
          <w:sz w:val="32"/>
          <w:szCs w:val="32"/>
        </w:rPr>
        <w:t>卫生健康支出</w:t>
      </w:r>
      <w:r>
        <w:rPr>
          <w:rFonts w:hint="eastAsia" w:ascii="仿宋" w:hAnsi="仿宋" w:eastAsia="仿宋"/>
          <w:sz w:val="32"/>
          <w:szCs w:val="32"/>
        </w:rPr>
        <w:t>7.12万元，占1.17</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Cs/>
          <w:sz w:val="32"/>
          <w:szCs w:val="32"/>
        </w:rPr>
        <w:t>住房保障支出</w:t>
      </w:r>
      <w:r>
        <w:rPr>
          <w:rFonts w:hint="eastAsia" w:ascii="仿宋" w:hAnsi="仿宋" w:eastAsia="仿宋"/>
          <w:sz w:val="32"/>
          <w:szCs w:val="32"/>
        </w:rPr>
        <w:t>9.09万元，占1.49</w:t>
      </w:r>
      <w:r>
        <w:rPr>
          <w:rFonts w:ascii="仿宋" w:hAnsi="仿宋" w:eastAsia="仿宋"/>
          <w:sz w:val="32"/>
          <w:szCs w:val="32"/>
        </w:rPr>
        <w:t>%</w:t>
      </w:r>
      <w:r>
        <w:rPr>
          <w:rFonts w:hint="eastAsia" w:ascii="仿宋" w:hAnsi="仿宋" w:eastAsia="仿宋"/>
          <w:sz w:val="32"/>
          <w:szCs w:val="32"/>
        </w:rPr>
        <w:t>。</w:t>
      </w:r>
    </w:p>
    <w:p>
      <w:pPr>
        <w:tabs>
          <w:tab w:val="left" w:pos="2841"/>
        </w:tabs>
        <w:jc w:val="left"/>
      </w:pPr>
    </w:p>
    <w:p>
      <w:r>
        <w:drawing>
          <wp:inline distT="0" distB="0" distL="114300" distR="114300">
            <wp:extent cx="5271135" cy="3088640"/>
            <wp:effectExtent l="4445" t="4445" r="20320" b="12065"/>
            <wp:docPr id="7"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rPr>
          <w:rFonts w:ascii="仿宋" w:hAnsi="仿宋" w:eastAsia="仿宋"/>
          <w:sz w:val="32"/>
          <w:szCs w:val="32"/>
        </w:rPr>
      </w:pPr>
    </w:p>
    <w:p>
      <w:pPr>
        <w:spacing w:line="600" w:lineRule="exact"/>
        <w:ind w:firstLine="643" w:firstLineChars="200"/>
        <w:outlineLvl w:val="2"/>
        <w:rPr>
          <w:rFonts w:ascii="仿宋" w:hAnsi="仿宋" w:eastAsia="仿宋"/>
          <w:b/>
          <w:sz w:val="32"/>
          <w:szCs w:val="32"/>
        </w:rPr>
      </w:pPr>
      <w:bookmarkStart w:id="45" w:name="_Toc15377212"/>
      <w:r>
        <w:rPr>
          <w:rFonts w:hint="eastAsia" w:ascii="仿宋" w:hAnsi="仿宋" w:eastAsia="仿宋"/>
          <w:b/>
          <w:sz w:val="32"/>
          <w:szCs w:val="32"/>
        </w:rPr>
        <w:t>（三）一般公共预算财政拨款支出决算具体情况</w:t>
      </w:r>
      <w:bookmarkEnd w:id="45"/>
    </w:p>
    <w:p>
      <w:pPr>
        <w:spacing w:line="600" w:lineRule="exact"/>
        <w:ind w:firstLine="643" w:firstLineChars="200"/>
        <w:outlineLvl w:val="1"/>
        <w:rPr>
          <w:rFonts w:ascii="仿宋" w:hAnsi="仿宋" w:eastAsia="仿宋"/>
          <w:sz w:val="32"/>
          <w:szCs w:val="32"/>
        </w:rPr>
      </w:pPr>
      <w:bookmarkStart w:id="46" w:name="_Toc15377213"/>
      <w:bookmarkStart w:id="47" w:name="_Toc15378460"/>
      <w:bookmarkStart w:id="48" w:name="_Toc15377444"/>
      <w:bookmarkStart w:id="49" w:name="_Toc2237"/>
      <w:r>
        <w:rPr>
          <w:rFonts w:hint="eastAsia" w:ascii="仿宋" w:hAnsi="仿宋" w:eastAsia="仿宋"/>
          <w:b/>
          <w:sz w:val="32"/>
          <w:szCs w:val="32"/>
        </w:rPr>
        <w:t>2021年一般公共预算支出决算数为610.89万元</w:t>
      </w:r>
      <w:r>
        <w:rPr>
          <w:rFonts w:hint="eastAsia" w:ascii="仿宋" w:hAnsi="仿宋" w:eastAsia="仿宋"/>
          <w:sz w:val="32"/>
          <w:szCs w:val="32"/>
        </w:rPr>
        <w:t>，</w:t>
      </w:r>
      <w:r>
        <w:rPr>
          <w:rStyle w:val="15"/>
          <w:rFonts w:hint="eastAsia" w:ascii="仿宋" w:hAnsi="仿宋" w:eastAsia="仿宋"/>
          <w:bCs/>
          <w:sz w:val="32"/>
          <w:szCs w:val="32"/>
        </w:rPr>
        <w:t>完成预算100</w:t>
      </w:r>
      <w:r>
        <w:rPr>
          <w:rStyle w:val="15"/>
          <w:rFonts w:ascii="仿宋" w:hAnsi="仿宋" w:eastAsia="仿宋"/>
          <w:bCs/>
          <w:sz w:val="32"/>
          <w:szCs w:val="32"/>
        </w:rPr>
        <w:t>%</w:t>
      </w:r>
      <w:r>
        <w:rPr>
          <w:rStyle w:val="15"/>
          <w:rFonts w:hint="eastAsia" w:ascii="仿宋" w:hAnsi="仿宋" w:eastAsia="仿宋"/>
          <w:bCs/>
          <w:sz w:val="32"/>
          <w:szCs w:val="32"/>
        </w:rPr>
        <w:t>。其中：</w:t>
      </w:r>
      <w:bookmarkEnd w:id="46"/>
      <w:bookmarkEnd w:id="47"/>
      <w:bookmarkEnd w:id="48"/>
      <w:bookmarkEnd w:id="49"/>
    </w:p>
    <w:p>
      <w:pPr>
        <w:spacing w:line="600" w:lineRule="exact"/>
        <w:ind w:firstLine="643" w:firstLineChars="200"/>
        <w:rPr>
          <w:rFonts w:ascii="仿宋" w:hAnsi="仿宋" w:eastAsia="仿宋"/>
          <w:b/>
          <w:sz w:val="32"/>
          <w:szCs w:val="32"/>
        </w:rPr>
      </w:pPr>
      <w:r>
        <w:rPr>
          <w:rStyle w:val="15"/>
          <w:rFonts w:ascii="仿宋" w:hAnsi="仿宋" w:eastAsia="仿宋"/>
          <w:bCs/>
          <w:sz w:val="32"/>
          <w:szCs w:val="32"/>
        </w:rPr>
        <w:t>1.</w:t>
      </w:r>
      <w:r>
        <w:rPr>
          <w:rStyle w:val="15"/>
          <w:rFonts w:hint="eastAsia" w:ascii="仿宋" w:hAnsi="仿宋" w:eastAsia="仿宋"/>
          <w:bCs/>
          <w:sz w:val="32"/>
          <w:szCs w:val="32"/>
        </w:rPr>
        <w:t>教育支出（类）进修及培训（款）培训支出（项）</w:t>
      </w:r>
      <w:r>
        <w:rPr>
          <w:rStyle w:val="15"/>
          <w:rFonts w:ascii="仿宋" w:hAnsi="仿宋" w:eastAsia="仿宋"/>
          <w:bCs/>
          <w:sz w:val="32"/>
          <w:szCs w:val="32"/>
        </w:rPr>
        <w:t>:</w:t>
      </w:r>
      <w:r>
        <w:rPr>
          <w:rStyle w:val="15"/>
          <w:rFonts w:ascii="仿宋" w:hAnsi="仿宋" w:eastAsia="仿宋"/>
          <w:b w:val="0"/>
          <w:bCs/>
          <w:sz w:val="32"/>
          <w:szCs w:val="32"/>
        </w:rPr>
        <w:t xml:space="preserve"> </w:t>
      </w:r>
      <w:r>
        <w:rPr>
          <w:rStyle w:val="15"/>
          <w:rFonts w:hint="eastAsia" w:ascii="仿宋" w:hAnsi="仿宋" w:eastAsia="仿宋"/>
          <w:b w:val="0"/>
          <w:bCs/>
          <w:sz w:val="32"/>
          <w:szCs w:val="32"/>
        </w:rPr>
        <w:t>支出决算为0.5万元，完成预算100</w:t>
      </w:r>
      <w:r>
        <w:rPr>
          <w:rStyle w:val="15"/>
          <w:rFonts w:ascii="仿宋" w:hAnsi="仿宋" w:eastAsia="仿宋"/>
          <w:b w:val="0"/>
          <w:bCs/>
          <w:sz w:val="32"/>
          <w:szCs w:val="32"/>
        </w:rPr>
        <w:t>%</w:t>
      </w:r>
      <w:r>
        <w:rPr>
          <w:rStyle w:val="15"/>
          <w:rFonts w:hint="eastAsia" w:ascii="仿宋" w:hAnsi="仿宋" w:eastAsia="仿宋"/>
          <w:b w:val="0"/>
          <w:bCs/>
          <w:sz w:val="32"/>
          <w:szCs w:val="32"/>
        </w:rPr>
        <w:t>。</w:t>
      </w:r>
    </w:p>
    <w:p>
      <w:pPr>
        <w:spacing w:line="600" w:lineRule="exact"/>
        <w:ind w:firstLine="643" w:firstLineChars="200"/>
        <w:rPr>
          <w:rFonts w:ascii="仿宋" w:hAnsi="仿宋" w:eastAsia="仿宋"/>
          <w:b/>
          <w:sz w:val="32"/>
          <w:szCs w:val="32"/>
        </w:rPr>
      </w:pPr>
      <w:r>
        <w:rPr>
          <w:rStyle w:val="15"/>
          <w:rFonts w:ascii="仿宋" w:hAnsi="仿宋" w:eastAsia="仿宋"/>
          <w:bCs/>
          <w:sz w:val="32"/>
          <w:szCs w:val="32"/>
        </w:rPr>
        <w:t>2.</w:t>
      </w:r>
      <w:r>
        <w:rPr>
          <w:rStyle w:val="15"/>
          <w:rFonts w:hint="eastAsia" w:ascii="仿宋" w:hAnsi="仿宋" w:eastAsia="仿宋"/>
          <w:bCs/>
          <w:sz w:val="32"/>
          <w:szCs w:val="32"/>
        </w:rPr>
        <w:t>科学技术支出（类）应用研究（款）机构运行（项）</w:t>
      </w:r>
      <w:r>
        <w:rPr>
          <w:rStyle w:val="15"/>
          <w:rFonts w:ascii="仿宋" w:hAnsi="仿宋" w:eastAsia="仿宋"/>
          <w:bCs/>
          <w:sz w:val="32"/>
          <w:szCs w:val="32"/>
        </w:rPr>
        <w:t>:</w:t>
      </w:r>
      <w:r>
        <w:rPr>
          <w:rStyle w:val="15"/>
          <w:rFonts w:ascii="仿宋" w:hAnsi="仿宋" w:eastAsia="仿宋"/>
          <w:b w:val="0"/>
          <w:bCs/>
          <w:sz w:val="32"/>
          <w:szCs w:val="32"/>
        </w:rPr>
        <w:t xml:space="preserve"> </w:t>
      </w:r>
      <w:r>
        <w:rPr>
          <w:rStyle w:val="15"/>
          <w:rFonts w:hint="eastAsia" w:ascii="仿宋" w:hAnsi="仿宋" w:eastAsia="仿宋"/>
          <w:b w:val="0"/>
          <w:bCs/>
          <w:sz w:val="32"/>
          <w:szCs w:val="32"/>
        </w:rPr>
        <w:t>支出决算为273.4万元，完成预算100</w:t>
      </w:r>
      <w:r>
        <w:rPr>
          <w:rStyle w:val="15"/>
          <w:rFonts w:ascii="仿宋" w:hAnsi="仿宋" w:eastAsia="仿宋"/>
          <w:b w:val="0"/>
          <w:bCs/>
          <w:sz w:val="32"/>
          <w:szCs w:val="32"/>
        </w:rPr>
        <w:t>%</w:t>
      </w:r>
      <w:r>
        <w:rPr>
          <w:rStyle w:val="15"/>
          <w:rFonts w:hint="eastAsia" w:ascii="仿宋" w:hAnsi="仿宋" w:eastAsia="仿宋"/>
          <w:b w:val="0"/>
          <w:bCs/>
          <w:sz w:val="32"/>
          <w:szCs w:val="32"/>
        </w:rPr>
        <w:t>。</w:t>
      </w:r>
    </w:p>
    <w:p>
      <w:pPr>
        <w:spacing w:line="600" w:lineRule="exact"/>
        <w:ind w:firstLine="643" w:firstLineChars="200"/>
        <w:rPr>
          <w:rFonts w:ascii="仿宋" w:hAnsi="仿宋" w:eastAsia="仿宋"/>
          <w:b/>
          <w:sz w:val="32"/>
          <w:szCs w:val="32"/>
        </w:rPr>
      </w:pPr>
      <w:r>
        <w:rPr>
          <w:rStyle w:val="15"/>
          <w:rFonts w:ascii="仿宋" w:hAnsi="仿宋" w:eastAsia="仿宋"/>
          <w:bCs/>
          <w:sz w:val="32"/>
          <w:szCs w:val="32"/>
        </w:rPr>
        <w:t>3.</w:t>
      </w:r>
      <w:r>
        <w:rPr>
          <w:rStyle w:val="15"/>
          <w:rFonts w:hint="eastAsia" w:ascii="仿宋" w:hAnsi="仿宋" w:eastAsia="仿宋"/>
          <w:bCs/>
          <w:sz w:val="32"/>
          <w:szCs w:val="32"/>
        </w:rPr>
        <w:t>科学技术支出（类）其他科学技术支出（款）其他科学技术支出（项）</w:t>
      </w:r>
      <w:r>
        <w:rPr>
          <w:rStyle w:val="15"/>
          <w:rFonts w:ascii="仿宋" w:hAnsi="仿宋" w:eastAsia="仿宋"/>
          <w:bCs/>
          <w:sz w:val="32"/>
          <w:szCs w:val="32"/>
        </w:rPr>
        <w:t>:</w:t>
      </w:r>
      <w:r>
        <w:rPr>
          <w:rStyle w:val="15"/>
          <w:rFonts w:ascii="仿宋" w:hAnsi="仿宋" w:eastAsia="仿宋"/>
          <w:b w:val="0"/>
          <w:bCs/>
          <w:sz w:val="32"/>
          <w:szCs w:val="32"/>
        </w:rPr>
        <w:t xml:space="preserve"> </w:t>
      </w:r>
      <w:r>
        <w:rPr>
          <w:rStyle w:val="15"/>
          <w:rFonts w:hint="eastAsia" w:ascii="仿宋" w:hAnsi="仿宋" w:eastAsia="仿宋"/>
          <w:b w:val="0"/>
          <w:bCs/>
          <w:sz w:val="32"/>
          <w:szCs w:val="32"/>
        </w:rPr>
        <w:t>支出决算为55万元，完成预算100</w:t>
      </w:r>
      <w:r>
        <w:rPr>
          <w:rStyle w:val="15"/>
          <w:rFonts w:ascii="仿宋" w:hAnsi="仿宋" w:eastAsia="仿宋"/>
          <w:b w:val="0"/>
          <w:bCs/>
          <w:sz w:val="32"/>
          <w:szCs w:val="32"/>
        </w:rPr>
        <w:t>%</w:t>
      </w:r>
      <w:r>
        <w:rPr>
          <w:rStyle w:val="15"/>
          <w:rFonts w:hint="eastAsia" w:ascii="仿宋" w:hAnsi="仿宋" w:eastAsia="仿宋"/>
          <w:b w:val="0"/>
          <w:bCs/>
          <w:sz w:val="32"/>
          <w:szCs w:val="32"/>
        </w:rPr>
        <w:t>。</w:t>
      </w:r>
    </w:p>
    <w:p>
      <w:pPr>
        <w:spacing w:line="600" w:lineRule="exact"/>
        <w:ind w:firstLine="643" w:firstLineChars="200"/>
        <w:rPr>
          <w:rFonts w:ascii="仿宋" w:hAnsi="仿宋" w:eastAsia="仿宋"/>
          <w:b/>
          <w:sz w:val="32"/>
          <w:szCs w:val="32"/>
        </w:rPr>
      </w:pPr>
      <w:r>
        <w:rPr>
          <w:rStyle w:val="15"/>
          <w:rFonts w:ascii="仿宋" w:hAnsi="仿宋" w:eastAsia="仿宋"/>
          <w:bCs/>
          <w:sz w:val="32"/>
          <w:szCs w:val="32"/>
        </w:rPr>
        <w:t>4.</w:t>
      </w:r>
      <w:r>
        <w:rPr>
          <w:rStyle w:val="15"/>
          <w:rFonts w:hint="eastAsia" w:ascii="仿宋" w:hAnsi="仿宋" w:eastAsia="仿宋"/>
          <w:bCs/>
          <w:sz w:val="32"/>
          <w:szCs w:val="32"/>
        </w:rPr>
        <w:t>文化旅游体育与传媒支出（类）广播电视（款）其他广播电视支出（项）</w:t>
      </w:r>
      <w:r>
        <w:rPr>
          <w:rStyle w:val="15"/>
          <w:rFonts w:ascii="仿宋" w:hAnsi="仿宋" w:eastAsia="仿宋"/>
          <w:bCs/>
          <w:sz w:val="32"/>
          <w:szCs w:val="32"/>
        </w:rPr>
        <w:t>:</w:t>
      </w:r>
      <w:r>
        <w:rPr>
          <w:rStyle w:val="15"/>
          <w:rFonts w:ascii="仿宋" w:hAnsi="仿宋" w:eastAsia="仿宋"/>
          <w:b w:val="0"/>
          <w:bCs/>
          <w:sz w:val="32"/>
          <w:szCs w:val="32"/>
        </w:rPr>
        <w:t xml:space="preserve"> </w:t>
      </w:r>
      <w:r>
        <w:rPr>
          <w:rStyle w:val="15"/>
          <w:rFonts w:hint="eastAsia" w:ascii="仿宋" w:hAnsi="仿宋" w:eastAsia="仿宋"/>
          <w:b w:val="0"/>
          <w:bCs/>
          <w:sz w:val="32"/>
          <w:szCs w:val="32"/>
        </w:rPr>
        <w:t>支出决算为209.01万元，完成预算100</w:t>
      </w:r>
      <w:r>
        <w:rPr>
          <w:rStyle w:val="15"/>
          <w:rFonts w:ascii="仿宋" w:hAnsi="仿宋" w:eastAsia="仿宋"/>
          <w:b w:val="0"/>
          <w:bCs/>
          <w:sz w:val="32"/>
          <w:szCs w:val="32"/>
        </w:rPr>
        <w:t>%</w:t>
      </w:r>
      <w:r>
        <w:rPr>
          <w:rStyle w:val="15"/>
          <w:rFonts w:hint="eastAsia" w:ascii="仿宋" w:hAnsi="仿宋" w:eastAsia="仿宋"/>
          <w:b w:val="0"/>
          <w:bCs/>
          <w:sz w:val="32"/>
          <w:szCs w:val="32"/>
        </w:rPr>
        <w:t>。</w:t>
      </w:r>
    </w:p>
    <w:p>
      <w:pPr>
        <w:spacing w:line="600" w:lineRule="exact"/>
        <w:ind w:firstLine="643" w:firstLineChars="200"/>
        <w:rPr>
          <w:rStyle w:val="15"/>
          <w:rFonts w:ascii="仿宋" w:hAnsi="仿宋" w:eastAsia="仿宋"/>
          <w:b w:val="0"/>
          <w:bCs/>
          <w:sz w:val="32"/>
          <w:szCs w:val="32"/>
        </w:rPr>
      </w:pPr>
      <w:r>
        <w:rPr>
          <w:rStyle w:val="15"/>
          <w:rFonts w:ascii="仿宋" w:hAnsi="仿宋" w:eastAsia="仿宋"/>
          <w:bCs/>
          <w:sz w:val="32"/>
          <w:szCs w:val="32"/>
        </w:rPr>
        <w:t>5.</w:t>
      </w:r>
      <w:r>
        <w:rPr>
          <w:rStyle w:val="15"/>
          <w:rFonts w:hint="eastAsia" w:ascii="仿宋" w:hAnsi="仿宋" w:eastAsia="仿宋"/>
          <w:bCs/>
          <w:sz w:val="32"/>
          <w:szCs w:val="32"/>
        </w:rPr>
        <w:t>社会保障和就业支出（类）行政事业单位养老支出（款）事业单位离退休（项）</w:t>
      </w:r>
      <w:r>
        <w:rPr>
          <w:rStyle w:val="15"/>
          <w:rFonts w:ascii="仿宋" w:hAnsi="仿宋" w:eastAsia="仿宋"/>
          <w:bCs/>
          <w:sz w:val="32"/>
          <w:szCs w:val="32"/>
        </w:rPr>
        <w:t>:</w:t>
      </w:r>
      <w:r>
        <w:rPr>
          <w:rStyle w:val="15"/>
          <w:rFonts w:ascii="仿宋" w:hAnsi="仿宋" w:eastAsia="仿宋"/>
          <w:b w:val="0"/>
          <w:bCs/>
          <w:sz w:val="32"/>
          <w:szCs w:val="32"/>
        </w:rPr>
        <w:t xml:space="preserve"> </w:t>
      </w:r>
      <w:r>
        <w:rPr>
          <w:rStyle w:val="15"/>
          <w:rFonts w:hint="eastAsia" w:ascii="仿宋" w:hAnsi="仿宋" w:eastAsia="仿宋"/>
          <w:b w:val="0"/>
          <w:bCs/>
          <w:sz w:val="32"/>
          <w:szCs w:val="32"/>
        </w:rPr>
        <w:t>支出决算为30.8万元，完成预算100</w:t>
      </w:r>
      <w:r>
        <w:rPr>
          <w:rStyle w:val="15"/>
          <w:rFonts w:ascii="仿宋" w:hAnsi="仿宋" w:eastAsia="仿宋"/>
          <w:b w:val="0"/>
          <w:bCs/>
          <w:sz w:val="32"/>
          <w:szCs w:val="32"/>
        </w:rPr>
        <w:t>%</w:t>
      </w:r>
      <w:r>
        <w:rPr>
          <w:rStyle w:val="15"/>
          <w:rFonts w:hint="eastAsia" w:ascii="仿宋" w:hAnsi="仿宋" w:eastAsia="仿宋"/>
          <w:b w:val="0"/>
          <w:bCs/>
          <w:sz w:val="32"/>
          <w:szCs w:val="32"/>
        </w:rPr>
        <w:t>。</w:t>
      </w:r>
    </w:p>
    <w:p>
      <w:pPr>
        <w:spacing w:line="600" w:lineRule="exact"/>
        <w:ind w:firstLine="643" w:firstLineChars="200"/>
        <w:rPr>
          <w:rStyle w:val="15"/>
          <w:rFonts w:ascii="仿宋" w:hAnsi="仿宋" w:eastAsia="仿宋"/>
          <w:b w:val="0"/>
          <w:bCs/>
          <w:sz w:val="32"/>
          <w:szCs w:val="32"/>
        </w:rPr>
      </w:pPr>
      <w:r>
        <w:rPr>
          <w:rStyle w:val="15"/>
          <w:rFonts w:hint="eastAsia" w:ascii="仿宋" w:hAnsi="仿宋" w:eastAsia="仿宋"/>
          <w:bCs/>
          <w:sz w:val="32"/>
          <w:szCs w:val="32"/>
        </w:rPr>
        <w:t>6</w:t>
      </w:r>
      <w:r>
        <w:rPr>
          <w:rStyle w:val="15"/>
          <w:rFonts w:ascii="仿宋" w:hAnsi="仿宋" w:eastAsia="仿宋"/>
          <w:bCs/>
          <w:sz w:val="32"/>
          <w:szCs w:val="32"/>
        </w:rPr>
        <w:t>.</w:t>
      </w:r>
      <w:r>
        <w:rPr>
          <w:rStyle w:val="15"/>
          <w:rFonts w:hint="eastAsia" w:ascii="仿宋" w:hAnsi="仿宋" w:eastAsia="仿宋"/>
          <w:bCs/>
          <w:sz w:val="32"/>
          <w:szCs w:val="32"/>
        </w:rPr>
        <w:t>社会保障和就业支出（类）行政事业单位养老支出（款） 机关事业单位基本养老保险缴费支出（项）</w:t>
      </w:r>
      <w:r>
        <w:rPr>
          <w:rStyle w:val="15"/>
          <w:rFonts w:ascii="仿宋" w:hAnsi="仿宋" w:eastAsia="仿宋"/>
          <w:bCs/>
          <w:sz w:val="32"/>
          <w:szCs w:val="32"/>
        </w:rPr>
        <w:t>:</w:t>
      </w:r>
      <w:r>
        <w:rPr>
          <w:rStyle w:val="15"/>
          <w:rFonts w:ascii="仿宋" w:hAnsi="仿宋" w:eastAsia="仿宋"/>
          <w:b w:val="0"/>
          <w:bCs/>
          <w:sz w:val="32"/>
          <w:szCs w:val="32"/>
        </w:rPr>
        <w:t xml:space="preserve"> </w:t>
      </w:r>
      <w:r>
        <w:rPr>
          <w:rStyle w:val="15"/>
          <w:rFonts w:hint="eastAsia" w:ascii="仿宋" w:hAnsi="仿宋" w:eastAsia="仿宋"/>
          <w:b w:val="0"/>
          <w:bCs/>
          <w:sz w:val="32"/>
          <w:szCs w:val="32"/>
        </w:rPr>
        <w:t>支出决算为12.12万元，完成预算100</w:t>
      </w:r>
      <w:r>
        <w:rPr>
          <w:rStyle w:val="15"/>
          <w:rFonts w:ascii="仿宋" w:hAnsi="仿宋" w:eastAsia="仿宋"/>
          <w:b w:val="0"/>
          <w:bCs/>
          <w:sz w:val="32"/>
          <w:szCs w:val="32"/>
        </w:rPr>
        <w:t>%</w:t>
      </w:r>
      <w:r>
        <w:rPr>
          <w:rStyle w:val="15"/>
          <w:rFonts w:hint="eastAsia" w:ascii="仿宋" w:hAnsi="仿宋" w:eastAsia="仿宋"/>
          <w:b w:val="0"/>
          <w:bCs/>
          <w:sz w:val="32"/>
          <w:szCs w:val="32"/>
        </w:rPr>
        <w:t>。</w:t>
      </w:r>
    </w:p>
    <w:p>
      <w:pPr>
        <w:spacing w:line="600" w:lineRule="exact"/>
        <w:ind w:firstLine="643" w:firstLineChars="200"/>
        <w:rPr>
          <w:rStyle w:val="15"/>
          <w:rFonts w:ascii="仿宋" w:hAnsi="仿宋" w:eastAsia="仿宋"/>
          <w:b w:val="0"/>
          <w:bCs/>
          <w:sz w:val="32"/>
          <w:szCs w:val="32"/>
        </w:rPr>
      </w:pPr>
      <w:r>
        <w:rPr>
          <w:rStyle w:val="15"/>
          <w:rFonts w:hint="eastAsia" w:ascii="仿宋" w:hAnsi="仿宋" w:eastAsia="仿宋"/>
          <w:bCs/>
          <w:sz w:val="32"/>
          <w:szCs w:val="32"/>
        </w:rPr>
        <w:t>7</w:t>
      </w:r>
      <w:r>
        <w:rPr>
          <w:rStyle w:val="15"/>
          <w:rFonts w:ascii="仿宋" w:hAnsi="仿宋" w:eastAsia="仿宋"/>
          <w:bCs/>
          <w:sz w:val="32"/>
          <w:szCs w:val="32"/>
        </w:rPr>
        <w:t>.</w:t>
      </w:r>
      <w:r>
        <w:rPr>
          <w:rStyle w:val="15"/>
          <w:rFonts w:hint="eastAsia" w:ascii="仿宋" w:hAnsi="仿宋" w:eastAsia="仿宋"/>
          <w:bCs/>
          <w:sz w:val="32"/>
          <w:szCs w:val="32"/>
        </w:rPr>
        <w:t>社会保障和就业支出（类）行政事业单位养老支出（款）机关事业单位职业年金缴费支出（项）</w:t>
      </w:r>
      <w:r>
        <w:rPr>
          <w:rStyle w:val="15"/>
          <w:rFonts w:ascii="仿宋" w:hAnsi="仿宋" w:eastAsia="仿宋"/>
          <w:bCs/>
          <w:sz w:val="32"/>
          <w:szCs w:val="32"/>
        </w:rPr>
        <w:t>:</w:t>
      </w:r>
      <w:r>
        <w:rPr>
          <w:rStyle w:val="15"/>
          <w:rFonts w:ascii="仿宋" w:hAnsi="仿宋" w:eastAsia="仿宋"/>
          <w:b w:val="0"/>
          <w:bCs/>
          <w:sz w:val="32"/>
          <w:szCs w:val="32"/>
        </w:rPr>
        <w:t xml:space="preserve"> </w:t>
      </w:r>
      <w:r>
        <w:rPr>
          <w:rStyle w:val="15"/>
          <w:rFonts w:hint="eastAsia" w:ascii="仿宋" w:hAnsi="仿宋" w:eastAsia="仿宋"/>
          <w:b w:val="0"/>
          <w:bCs/>
          <w:sz w:val="32"/>
          <w:szCs w:val="32"/>
        </w:rPr>
        <w:t>支出决算为6.06万元，完成预算100</w:t>
      </w:r>
      <w:r>
        <w:rPr>
          <w:rStyle w:val="15"/>
          <w:rFonts w:ascii="仿宋" w:hAnsi="仿宋" w:eastAsia="仿宋"/>
          <w:b w:val="0"/>
          <w:bCs/>
          <w:sz w:val="32"/>
          <w:szCs w:val="32"/>
        </w:rPr>
        <w:t>%</w:t>
      </w:r>
      <w:r>
        <w:rPr>
          <w:rStyle w:val="15"/>
          <w:rFonts w:hint="eastAsia" w:ascii="仿宋" w:hAnsi="仿宋" w:eastAsia="仿宋"/>
          <w:b w:val="0"/>
          <w:bCs/>
          <w:sz w:val="32"/>
          <w:szCs w:val="32"/>
        </w:rPr>
        <w:t>。</w:t>
      </w:r>
    </w:p>
    <w:p>
      <w:pPr>
        <w:spacing w:line="600" w:lineRule="exact"/>
        <w:ind w:firstLine="643" w:firstLineChars="200"/>
        <w:rPr>
          <w:rStyle w:val="15"/>
          <w:rFonts w:ascii="仿宋" w:hAnsi="仿宋" w:eastAsia="仿宋"/>
          <w:b w:val="0"/>
          <w:bCs/>
          <w:sz w:val="32"/>
          <w:szCs w:val="32"/>
        </w:rPr>
      </w:pPr>
      <w:r>
        <w:rPr>
          <w:rStyle w:val="15"/>
          <w:rFonts w:hint="eastAsia" w:ascii="仿宋" w:hAnsi="仿宋" w:eastAsia="仿宋"/>
          <w:bCs/>
          <w:sz w:val="32"/>
          <w:szCs w:val="32"/>
        </w:rPr>
        <w:t>8</w:t>
      </w:r>
      <w:r>
        <w:rPr>
          <w:rStyle w:val="15"/>
          <w:rFonts w:ascii="仿宋" w:hAnsi="仿宋" w:eastAsia="仿宋"/>
          <w:bCs/>
          <w:sz w:val="32"/>
          <w:szCs w:val="32"/>
        </w:rPr>
        <w:t>.</w:t>
      </w:r>
      <w:r>
        <w:rPr>
          <w:rStyle w:val="15"/>
          <w:rFonts w:hint="eastAsia" w:ascii="仿宋" w:hAnsi="仿宋" w:eastAsia="仿宋"/>
          <w:bCs/>
          <w:sz w:val="32"/>
          <w:szCs w:val="32"/>
        </w:rPr>
        <w:t>社会保障和就业支出（类）抚恤（款）死亡抚恤（项）</w:t>
      </w:r>
      <w:r>
        <w:rPr>
          <w:rStyle w:val="15"/>
          <w:rFonts w:ascii="仿宋" w:hAnsi="仿宋" w:eastAsia="仿宋"/>
          <w:bCs/>
          <w:sz w:val="32"/>
          <w:szCs w:val="32"/>
        </w:rPr>
        <w:t>:</w:t>
      </w:r>
      <w:r>
        <w:rPr>
          <w:rStyle w:val="15"/>
          <w:rFonts w:ascii="仿宋" w:hAnsi="仿宋" w:eastAsia="仿宋"/>
          <w:b w:val="0"/>
          <w:bCs/>
          <w:sz w:val="32"/>
          <w:szCs w:val="32"/>
        </w:rPr>
        <w:t xml:space="preserve"> </w:t>
      </w:r>
      <w:r>
        <w:rPr>
          <w:rStyle w:val="15"/>
          <w:rFonts w:hint="eastAsia" w:ascii="仿宋" w:hAnsi="仿宋" w:eastAsia="仿宋"/>
          <w:b w:val="0"/>
          <w:bCs/>
          <w:sz w:val="32"/>
          <w:szCs w:val="32"/>
        </w:rPr>
        <w:t>支出决算为7.79万元，完成预算100</w:t>
      </w:r>
      <w:r>
        <w:rPr>
          <w:rStyle w:val="15"/>
          <w:rFonts w:ascii="仿宋" w:hAnsi="仿宋" w:eastAsia="仿宋"/>
          <w:b w:val="0"/>
          <w:bCs/>
          <w:sz w:val="32"/>
          <w:szCs w:val="32"/>
        </w:rPr>
        <w:t>%</w:t>
      </w:r>
      <w:r>
        <w:rPr>
          <w:rStyle w:val="15"/>
          <w:rFonts w:hint="eastAsia" w:ascii="仿宋" w:hAnsi="仿宋" w:eastAsia="仿宋"/>
          <w:b w:val="0"/>
          <w:bCs/>
          <w:sz w:val="32"/>
          <w:szCs w:val="32"/>
        </w:rPr>
        <w:t>。</w:t>
      </w:r>
    </w:p>
    <w:p>
      <w:pPr>
        <w:spacing w:line="600" w:lineRule="exact"/>
        <w:ind w:firstLine="643" w:firstLineChars="200"/>
        <w:rPr>
          <w:rFonts w:ascii="仿宋" w:hAnsi="仿宋" w:eastAsia="仿宋"/>
          <w:b/>
          <w:sz w:val="32"/>
          <w:szCs w:val="32"/>
        </w:rPr>
      </w:pPr>
      <w:r>
        <w:rPr>
          <w:rStyle w:val="15"/>
          <w:rFonts w:hint="eastAsia" w:ascii="仿宋" w:hAnsi="仿宋" w:eastAsia="仿宋"/>
          <w:bCs/>
          <w:sz w:val="32"/>
          <w:szCs w:val="32"/>
        </w:rPr>
        <w:t>9</w:t>
      </w:r>
      <w:r>
        <w:rPr>
          <w:rStyle w:val="15"/>
          <w:rFonts w:ascii="仿宋" w:hAnsi="仿宋" w:eastAsia="仿宋"/>
          <w:bCs/>
          <w:sz w:val="32"/>
          <w:szCs w:val="32"/>
        </w:rPr>
        <w:t>.</w:t>
      </w:r>
      <w:r>
        <w:rPr>
          <w:rFonts w:hint="eastAsia" w:ascii="仿宋" w:hAnsi="仿宋" w:eastAsia="仿宋"/>
          <w:b/>
          <w:bCs/>
          <w:sz w:val="32"/>
          <w:szCs w:val="32"/>
        </w:rPr>
        <w:t>卫生健康支出</w:t>
      </w:r>
      <w:r>
        <w:rPr>
          <w:rStyle w:val="15"/>
          <w:rFonts w:hint="eastAsia" w:ascii="仿宋" w:hAnsi="仿宋" w:eastAsia="仿宋"/>
          <w:bCs/>
          <w:sz w:val="32"/>
          <w:szCs w:val="32"/>
        </w:rPr>
        <w:t>（类）行政事业单位医疗（款）事业单位医疗（项）</w:t>
      </w:r>
      <w:r>
        <w:rPr>
          <w:rStyle w:val="15"/>
          <w:rFonts w:ascii="仿宋" w:hAnsi="仿宋" w:eastAsia="仿宋"/>
          <w:bCs/>
          <w:sz w:val="32"/>
          <w:szCs w:val="32"/>
        </w:rPr>
        <w:t>:</w:t>
      </w:r>
      <w:r>
        <w:rPr>
          <w:rStyle w:val="15"/>
          <w:rFonts w:hint="eastAsia" w:ascii="仿宋" w:hAnsi="仿宋" w:eastAsia="仿宋"/>
          <w:b w:val="0"/>
          <w:bCs/>
          <w:sz w:val="32"/>
          <w:szCs w:val="32"/>
        </w:rPr>
        <w:t>支出决算为7.12万元，完成预算100</w:t>
      </w:r>
      <w:r>
        <w:rPr>
          <w:rStyle w:val="15"/>
          <w:rFonts w:ascii="仿宋" w:hAnsi="仿宋" w:eastAsia="仿宋"/>
          <w:b w:val="0"/>
          <w:bCs/>
          <w:sz w:val="32"/>
          <w:szCs w:val="32"/>
        </w:rPr>
        <w:t>%</w:t>
      </w:r>
      <w:r>
        <w:rPr>
          <w:rStyle w:val="15"/>
          <w:rFonts w:hint="eastAsia" w:ascii="仿宋" w:hAnsi="仿宋" w:eastAsia="仿宋"/>
          <w:b w:val="0"/>
          <w:bCs/>
          <w:sz w:val="32"/>
          <w:szCs w:val="32"/>
        </w:rPr>
        <w:t>。</w:t>
      </w:r>
    </w:p>
    <w:p>
      <w:pPr>
        <w:spacing w:line="600" w:lineRule="exact"/>
        <w:ind w:firstLine="643" w:firstLineChars="200"/>
        <w:rPr>
          <w:rStyle w:val="15"/>
          <w:rFonts w:ascii="仿宋" w:hAnsi="仿宋" w:eastAsia="仿宋"/>
          <w:b w:val="0"/>
          <w:bCs/>
          <w:sz w:val="32"/>
          <w:szCs w:val="32"/>
        </w:rPr>
      </w:pPr>
      <w:r>
        <w:rPr>
          <w:rStyle w:val="15"/>
          <w:rFonts w:hint="eastAsia" w:ascii="仿宋" w:hAnsi="仿宋" w:eastAsia="仿宋"/>
          <w:bCs/>
          <w:sz w:val="32"/>
          <w:szCs w:val="32"/>
        </w:rPr>
        <w:t>10</w:t>
      </w:r>
      <w:r>
        <w:rPr>
          <w:rStyle w:val="15"/>
          <w:rFonts w:ascii="仿宋" w:hAnsi="仿宋" w:eastAsia="仿宋"/>
          <w:bCs/>
          <w:sz w:val="32"/>
          <w:szCs w:val="32"/>
        </w:rPr>
        <w:t>.</w:t>
      </w:r>
      <w:r>
        <w:rPr>
          <w:rFonts w:hint="eastAsia" w:ascii="仿宋" w:hAnsi="仿宋" w:eastAsia="仿宋"/>
          <w:b/>
          <w:bCs/>
          <w:sz w:val="32"/>
          <w:szCs w:val="32"/>
        </w:rPr>
        <w:t>住房保障支出</w:t>
      </w:r>
      <w:r>
        <w:rPr>
          <w:rStyle w:val="15"/>
          <w:rFonts w:hint="eastAsia" w:ascii="仿宋" w:hAnsi="仿宋" w:eastAsia="仿宋"/>
          <w:bCs/>
          <w:sz w:val="32"/>
          <w:szCs w:val="32"/>
        </w:rPr>
        <w:t>（类）住房改革支出（款）住房公积金（项）</w:t>
      </w:r>
      <w:r>
        <w:rPr>
          <w:rStyle w:val="15"/>
          <w:rFonts w:ascii="仿宋" w:hAnsi="仿宋" w:eastAsia="仿宋"/>
          <w:bCs/>
          <w:sz w:val="32"/>
          <w:szCs w:val="32"/>
        </w:rPr>
        <w:t>:</w:t>
      </w:r>
      <w:r>
        <w:rPr>
          <w:rStyle w:val="15"/>
          <w:rFonts w:hint="eastAsia" w:ascii="仿宋" w:hAnsi="仿宋" w:eastAsia="仿宋"/>
          <w:b w:val="0"/>
          <w:bCs/>
          <w:sz w:val="32"/>
          <w:szCs w:val="32"/>
        </w:rPr>
        <w:t>支出决算为9.09万元，完成预算100</w:t>
      </w:r>
      <w:r>
        <w:rPr>
          <w:rStyle w:val="15"/>
          <w:rFonts w:ascii="仿宋" w:hAnsi="仿宋" w:eastAsia="仿宋"/>
          <w:b w:val="0"/>
          <w:bCs/>
          <w:sz w:val="32"/>
          <w:szCs w:val="32"/>
        </w:rPr>
        <w:t>%</w:t>
      </w:r>
      <w:r>
        <w:rPr>
          <w:rStyle w:val="15"/>
          <w:rFonts w:hint="eastAsia" w:ascii="仿宋" w:hAnsi="仿宋" w:eastAsia="仿宋"/>
          <w:b w:val="0"/>
          <w:bCs/>
          <w:sz w:val="32"/>
          <w:szCs w:val="32"/>
        </w:rPr>
        <w:t>。</w:t>
      </w:r>
    </w:p>
    <w:p>
      <w:pPr>
        <w:spacing w:line="600" w:lineRule="exact"/>
        <w:ind w:firstLine="640"/>
        <w:rPr>
          <w:rFonts w:ascii="仿宋" w:hAnsi="仿宋" w:eastAsia="仿宋"/>
          <w:b/>
          <w:sz w:val="32"/>
          <w:szCs w:val="32"/>
        </w:rPr>
      </w:pPr>
    </w:p>
    <w:p>
      <w:pPr>
        <w:pStyle w:val="2"/>
        <w:rPr>
          <w:rFonts w:hint="eastAsia"/>
        </w:rPr>
      </w:pPr>
    </w:p>
    <w:p>
      <w:pPr>
        <w:tabs>
          <w:tab w:val="right" w:pos="8306"/>
        </w:tabs>
        <w:spacing w:line="600" w:lineRule="exact"/>
        <w:ind w:firstLine="640"/>
        <w:outlineLvl w:val="1"/>
        <w:rPr>
          <w:rStyle w:val="26"/>
        </w:rPr>
      </w:pPr>
      <w:bookmarkStart w:id="50" w:name="_Toc12916"/>
      <w:bookmarkStart w:id="51" w:name="_Toc15396608"/>
      <w:bookmarkStart w:id="52" w:name="_Toc15377214"/>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6"/>
          <w:rFonts w:hint="eastAsia" w:ascii="黑体" w:hAnsi="黑体" w:eastAsia="黑体"/>
          <w:b w:val="0"/>
        </w:rPr>
        <w:t>般公共预算财政拨款基本支出决算情况说明</w:t>
      </w:r>
      <w:bookmarkEnd w:id="50"/>
      <w:bookmarkEnd w:id="51"/>
      <w:bookmarkEnd w:id="52"/>
      <w:r>
        <w:rPr>
          <w:rStyle w:val="26"/>
          <w:rFonts w:ascii="黑体" w:hAnsi="黑体" w:eastAsia="黑体"/>
          <w:b w:val="0"/>
        </w:rPr>
        <w:tab/>
      </w:r>
    </w:p>
    <w:p>
      <w:pPr>
        <w:spacing w:line="600" w:lineRule="exact"/>
        <w:ind w:firstLine="645"/>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21年一般公共预算财政拨款基本支出253.78万元，其中：</w:t>
      </w:r>
    </w:p>
    <w:p>
      <w:pPr>
        <w:spacing w:line="600" w:lineRule="exact"/>
        <w:ind w:firstLine="645"/>
        <w:rPr>
          <w:rFonts w:ascii="仿宋" w:hAnsi="仿宋" w:eastAsia="仿宋"/>
          <w:sz w:val="32"/>
          <w:szCs w:val="32"/>
        </w:rPr>
      </w:pPr>
      <w:r>
        <w:rPr>
          <w:rFonts w:hint="eastAsia" w:ascii="仿宋" w:hAnsi="仿宋" w:eastAsia="仿宋"/>
          <w:sz w:val="32"/>
          <w:szCs w:val="32"/>
        </w:rPr>
        <w:t xml:space="preserve">人员经费235.14万元，主要包括：基本工资、津贴补贴、绩效工资、机关事业单位基本养老保险缴费、职业年金缴费、职工基本医疗保险缴费、其他社会保障缴费、其他工资福利支出、抚恤金、奖励金、住房公积金、其他对个人和家庭的补助支出。 </w:t>
      </w:r>
      <w:r>
        <w:rPr>
          <w:rFonts w:ascii="仿宋" w:hAnsi="仿宋" w:eastAsia="仿宋"/>
          <w:sz w:val="32"/>
          <w:szCs w:val="32"/>
        </w:rPr>
        <w:br w:type="textWrapping"/>
      </w:r>
      <w:r>
        <w:rPr>
          <w:rFonts w:hint="eastAsia" w:ascii="仿宋" w:hAnsi="仿宋" w:eastAsia="仿宋"/>
          <w:sz w:val="32"/>
          <w:szCs w:val="32"/>
        </w:rPr>
        <w:t>　　公用经费18.64万元，主要包括：办公费、印刷费、电费、邮电费、差旅费、培训费、劳务费、工会经费、福利费。</w:t>
      </w:r>
    </w:p>
    <w:p>
      <w:pPr>
        <w:spacing w:line="600" w:lineRule="exact"/>
        <w:ind w:firstLine="640"/>
        <w:rPr>
          <w:rFonts w:ascii="仿宋" w:hAnsi="仿宋" w:eastAsia="仿宋"/>
          <w:b/>
          <w:sz w:val="32"/>
          <w:szCs w:val="32"/>
        </w:rPr>
      </w:pPr>
    </w:p>
    <w:p>
      <w:pPr>
        <w:spacing w:line="600" w:lineRule="exact"/>
        <w:ind w:firstLine="640"/>
        <w:outlineLvl w:val="1"/>
        <w:rPr>
          <w:rStyle w:val="26"/>
          <w:rFonts w:ascii="黑体" w:hAnsi="黑体" w:eastAsia="黑体"/>
          <w:b w:val="0"/>
        </w:rPr>
      </w:pPr>
      <w:bookmarkStart w:id="53" w:name="_Toc15377215"/>
      <w:bookmarkStart w:id="54" w:name="_Toc15396609"/>
      <w:bookmarkStart w:id="55" w:name="_Toc28113"/>
      <w:r>
        <w:rPr>
          <w:rFonts w:hint="eastAsia" w:ascii="黑体" w:eastAsia="黑体"/>
          <w:sz w:val="32"/>
          <w:szCs w:val="32"/>
        </w:rPr>
        <w:t>七、</w:t>
      </w:r>
      <w:r>
        <w:rPr>
          <w:rStyle w:val="26"/>
          <w:rFonts w:hint="eastAsia" w:ascii="黑体" w:hAnsi="黑体" w:eastAsia="黑体"/>
        </w:rPr>
        <w:t>“</w:t>
      </w:r>
      <w:r>
        <w:rPr>
          <w:rStyle w:val="26"/>
          <w:rFonts w:hint="eastAsia" w:ascii="黑体" w:hAnsi="黑体" w:eastAsia="黑体"/>
          <w:b w:val="0"/>
        </w:rPr>
        <w:t>三公”经费财政拨款支出决算情况说明</w:t>
      </w:r>
      <w:bookmarkEnd w:id="53"/>
      <w:bookmarkEnd w:id="54"/>
      <w:bookmarkEnd w:id="55"/>
    </w:p>
    <w:p>
      <w:pPr>
        <w:spacing w:line="600" w:lineRule="exact"/>
        <w:ind w:firstLine="640"/>
        <w:outlineLvl w:val="2"/>
        <w:rPr>
          <w:rFonts w:ascii="仿宋" w:hAnsi="仿宋" w:eastAsia="仿宋"/>
          <w:b/>
          <w:sz w:val="32"/>
          <w:szCs w:val="32"/>
        </w:rPr>
      </w:pPr>
      <w:bookmarkStart w:id="56" w:name="_Toc15377216"/>
      <w:r>
        <w:rPr>
          <w:rFonts w:hint="eastAsia" w:ascii="仿宋" w:hAnsi="仿宋" w:eastAsia="仿宋"/>
          <w:b/>
          <w:sz w:val="32"/>
          <w:szCs w:val="32"/>
        </w:rPr>
        <w:t>（一）“三公”经费财政拨款支出决算总体情况说明</w:t>
      </w:r>
      <w:bookmarkEnd w:id="56"/>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21年“三公”经费财政拨款支出决算为0万元，完成预算100</w:t>
      </w:r>
      <w:r>
        <w:rPr>
          <w:rFonts w:ascii="仿宋" w:hAnsi="仿宋" w:eastAsia="仿宋"/>
          <w:sz w:val="32"/>
          <w:szCs w:val="32"/>
        </w:rPr>
        <w:t>%</w:t>
      </w:r>
      <w:r>
        <w:rPr>
          <w:rFonts w:hint="eastAsia" w:ascii="仿宋" w:hAnsi="仿宋" w:eastAsia="仿宋"/>
          <w:sz w:val="32"/>
          <w:szCs w:val="32"/>
        </w:rPr>
        <w:t>，决算数与预算数持平。</w:t>
      </w:r>
    </w:p>
    <w:p>
      <w:pPr>
        <w:spacing w:line="600" w:lineRule="exact"/>
        <w:ind w:firstLine="640"/>
        <w:outlineLvl w:val="2"/>
        <w:rPr>
          <w:rFonts w:ascii="仿宋" w:hAnsi="仿宋" w:eastAsia="仿宋"/>
          <w:b/>
          <w:sz w:val="32"/>
          <w:szCs w:val="32"/>
        </w:rPr>
      </w:pPr>
      <w:bookmarkStart w:id="57" w:name="_Toc15377217"/>
      <w:r>
        <w:rPr>
          <w:rFonts w:hint="eastAsia" w:ascii="仿宋" w:hAnsi="仿宋" w:eastAsia="仿宋"/>
          <w:b/>
          <w:sz w:val="32"/>
          <w:szCs w:val="32"/>
        </w:rPr>
        <w:t>（二）“三公”经费财政拨款支出决算具体情况说明</w:t>
      </w:r>
      <w:bookmarkEnd w:id="57"/>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21年“三公”经费财政拨款支出决算中，因公出国（境）费支出决算0万元，占0</w:t>
      </w:r>
      <w:r>
        <w:rPr>
          <w:rFonts w:ascii="仿宋" w:hAnsi="仿宋" w:eastAsia="仿宋"/>
          <w:sz w:val="32"/>
          <w:szCs w:val="32"/>
        </w:rPr>
        <w:t>%</w:t>
      </w:r>
      <w:r>
        <w:rPr>
          <w:rFonts w:hint="eastAsia" w:ascii="仿宋" w:hAnsi="仿宋" w:eastAsia="仿宋"/>
          <w:sz w:val="32"/>
          <w:szCs w:val="32"/>
        </w:rPr>
        <w:t>；公务用车购置及运行维护费支出决算0万元，占0</w:t>
      </w:r>
      <w:r>
        <w:rPr>
          <w:rFonts w:ascii="仿宋" w:hAnsi="仿宋" w:eastAsia="仿宋"/>
          <w:sz w:val="32"/>
          <w:szCs w:val="32"/>
        </w:rPr>
        <w:t>%</w:t>
      </w:r>
      <w:r>
        <w:rPr>
          <w:rFonts w:hint="eastAsia" w:ascii="仿宋" w:hAnsi="仿宋" w:eastAsia="仿宋"/>
          <w:sz w:val="32"/>
          <w:szCs w:val="32"/>
        </w:rPr>
        <w:t>；公务接待费支出决算0万元，占0</w:t>
      </w:r>
      <w:r>
        <w:rPr>
          <w:rFonts w:ascii="仿宋" w:hAnsi="仿宋" w:eastAsia="仿宋"/>
          <w:sz w:val="32"/>
          <w:szCs w:val="32"/>
        </w:rPr>
        <w:t>%</w:t>
      </w:r>
      <w:r>
        <w:rPr>
          <w:rFonts w:hint="eastAsia" w:ascii="仿宋" w:hAnsi="仿宋" w:eastAsia="仿宋"/>
          <w:sz w:val="32"/>
          <w:szCs w:val="32"/>
        </w:rPr>
        <w:t>。</w:t>
      </w:r>
    </w:p>
    <w:p>
      <w:pPr>
        <w:spacing w:line="600" w:lineRule="exact"/>
        <w:ind w:firstLine="640"/>
        <w:rPr>
          <w:rFonts w:ascii="仿宋_GB2312" w:eastAsia="仿宋_GB2312"/>
          <w:b/>
          <w:sz w:val="32"/>
          <w:szCs w:val="32"/>
        </w:rPr>
      </w:pPr>
      <w:r>
        <w:rPr>
          <w:rFonts w:ascii="仿宋_GB2312" w:eastAsia="仿宋_GB2312"/>
          <w:b/>
          <w:sz w:val="32"/>
          <w:szCs w:val="32"/>
        </w:rPr>
        <w:t>1.</w:t>
      </w:r>
      <w:r>
        <w:rPr>
          <w:rFonts w:hint="eastAsia" w:ascii="仿宋_GB2312" w:eastAsia="仿宋_GB2312"/>
          <w:b/>
          <w:sz w:val="32"/>
          <w:szCs w:val="32"/>
        </w:rPr>
        <w:t>因公出国（境）经费支出</w:t>
      </w:r>
      <w:r>
        <w:rPr>
          <w:rFonts w:hint="eastAsia" w:ascii="仿宋_GB2312" w:eastAsia="仿宋_GB2312"/>
          <w:sz w:val="32"/>
          <w:szCs w:val="32"/>
        </w:rPr>
        <w:t>0万元，</w:t>
      </w:r>
      <w:r>
        <w:rPr>
          <w:rStyle w:val="15"/>
          <w:rFonts w:hint="eastAsia" w:ascii="仿宋" w:hAnsi="仿宋" w:eastAsia="仿宋"/>
          <w:b w:val="0"/>
          <w:bCs/>
          <w:sz w:val="32"/>
          <w:szCs w:val="32"/>
        </w:rPr>
        <w:t>完成预算100</w:t>
      </w:r>
      <w:r>
        <w:rPr>
          <w:rStyle w:val="15"/>
          <w:rFonts w:ascii="仿宋" w:hAnsi="仿宋" w:eastAsia="仿宋"/>
          <w:b w:val="0"/>
          <w:bCs/>
          <w:sz w:val="32"/>
          <w:szCs w:val="32"/>
        </w:rPr>
        <w:t>%</w:t>
      </w:r>
      <w:r>
        <w:rPr>
          <w:rStyle w:val="15"/>
          <w:rFonts w:hint="eastAsia" w:ascii="仿宋" w:hAnsi="仿宋" w:eastAsia="仿宋"/>
          <w:b w:val="0"/>
          <w:bCs/>
          <w:sz w:val="32"/>
          <w:szCs w:val="32"/>
        </w:rPr>
        <w:t>。</w:t>
      </w:r>
      <w:r>
        <w:rPr>
          <w:rFonts w:hint="eastAsia" w:ascii="仿宋_GB2312" w:eastAsia="仿宋_GB2312"/>
          <w:sz w:val="32"/>
          <w:szCs w:val="32"/>
        </w:rPr>
        <w:t>全年安排因公出国（境）团组0次，出国（境）0人。因公出国（境）支出决算与</w:t>
      </w:r>
      <w:r>
        <w:rPr>
          <w:rFonts w:ascii="仿宋_GB2312" w:eastAsia="仿宋_GB2312"/>
          <w:sz w:val="32"/>
          <w:szCs w:val="32"/>
        </w:rPr>
        <w:t>20</w:t>
      </w:r>
      <w:r>
        <w:rPr>
          <w:rFonts w:hint="eastAsia" w:ascii="仿宋_GB2312" w:eastAsia="仿宋_GB2312"/>
          <w:sz w:val="32"/>
          <w:szCs w:val="32"/>
        </w:rPr>
        <w:t>20年持平。</w:t>
      </w:r>
    </w:p>
    <w:p>
      <w:p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hint="eastAsia" w:ascii="仿宋_GB2312" w:eastAsia="仿宋_GB2312"/>
          <w:sz w:val="32"/>
          <w:szCs w:val="32"/>
        </w:rPr>
        <w:t>0万元,</w:t>
      </w:r>
      <w:r>
        <w:rPr>
          <w:rStyle w:val="15"/>
          <w:rFonts w:hint="eastAsia" w:ascii="仿宋" w:hAnsi="仿宋" w:eastAsia="仿宋"/>
          <w:b w:val="0"/>
          <w:bCs/>
          <w:sz w:val="32"/>
          <w:szCs w:val="32"/>
        </w:rPr>
        <w:t>完成预算100</w:t>
      </w:r>
      <w:r>
        <w:rPr>
          <w:rStyle w:val="15"/>
          <w:rFonts w:ascii="仿宋" w:hAnsi="仿宋" w:eastAsia="仿宋"/>
          <w:b w:val="0"/>
          <w:bCs/>
          <w:sz w:val="32"/>
          <w:szCs w:val="32"/>
        </w:rPr>
        <w:t>%</w:t>
      </w:r>
      <w:r>
        <w:rPr>
          <w:rStyle w:val="15"/>
          <w:rFonts w:hint="eastAsia" w:ascii="仿宋" w:hAnsi="仿宋" w:eastAsia="仿宋"/>
          <w:b w:val="0"/>
          <w:bCs/>
          <w:sz w:val="32"/>
          <w:szCs w:val="32"/>
        </w:rPr>
        <w:t>。</w:t>
      </w:r>
      <w:r>
        <w:rPr>
          <w:rFonts w:hint="eastAsia" w:ascii="仿宋_GB2312" w:eastAsia="仿宋_GB2312"/>
          <w:sz w:val="32"/>
          <w:szCs w:val="32"/>
        </w:rPr>
        <w:t>公务用车购置及运行维护费支出决算与</w:t>
      </w:r>
      <w:r>
        <w:rPr>
          <w:rFonts w:ascii="仿宋_GB2312" w:eastAsia="仿宋_GB2312"/>
          <w:sz w:val="32"/>
          <w:szCs w:val="32"/>
        </w:rPr>
        <w:t>20</w:t>
      </w:r>
      <w:r>
        <w:rPr>
          <w:rFonts w:hint="eastAsia" w:ascii="仿宋_GB2312" w:eastAsia="仿宋_GB2312"/>
          <w:sz w:val="32"/>
          <w:szCs w:val="32"/>
        </w:rPr>
        <w:t>20年持平。</w:t>
      </w:r>
    </w:p>
    <w:p>
      <w:pPr>
        <w:spacing w:line="600" w:lineRule="exact"/>
        <w:ind w:firstLine="640" w:firstLineChars="200"/>
        <w:rPr>
          <w:rFonts w:ascii="仿宋_GB2312" w:eastAsia="仿宋_GB2312"/>
          <w:b/>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w:t>
      </w:r>
      <w:r>
        <w:rPr>
          <w:rFonts w:hint="eastAsia" w:ascii="仿宋_GB2312" w:eastAsia="仿宋_GB2312"/>
          <w:sz w:val="32"/>
          <w:szCs w:val="32"/>
        </w:rPr>
        <w:t>0万元。全年按规定更新购置公务用车0辆，其中：轿车0辆、金额0万元，越野车0辆、金额0万元，载客汽车0辆、金额0万元。截至</w:t>
      </w:r>
      <w:r>
        <w:rPr>
          <w:rFonts w:ascii="仿宋_GB2312" w:eastAsia="仿宋_GB2312"/>
          <w:sz w:val="32"/>
          <w:szCs w:val="32"/>
        </w:rPr>
        <w:t>20</w:t>
      </w:r>
      <w:r>
        <w:rPr>
          <w:rFonts w:hint="eastAsia" w:ascii="仿宋_GB2312" w:eastAsia="仿宋_GB2312"/>
          <w:sz w:val="32"/>
          <w:szCs w:val="32"/>
        </w:rPr>
        <w:t>21年</w:t>
      </w:r>
      <w:r>
        <w:rPr>
          <w:rFonts w:ascii="仿宋_GB2312" w:eastAsia="仿宋_GB2312"/>
          <w:sz w:val="32"/>
          <w:szCs w:val="32"/>
        </w:rPr>
        <w:t>12</w:t>
      </w:r>
      <w:r>
        <w:rPr>
          <w:rFonts w:hint="eastAsia" w:ascii="仿宋_GB2312" w:eastAsia="仿宋_GB2312"/>
          <w:sz w:val="32"/>
          <w:szCs w:val="32"/>
        </w:rPr>
        <w:t>月底，单位共有</w:t>
      </w:r>
      <w:r>
        <w:rPr>
          <w:rFonts w:hint="eastAsia" w:ascii="仿宋_GB2312" w:eastAsia="仿宋_GB2312"/>
          <w:color w:val="000000" w:themeColor="text1"/>
          <w:sz w:val="32"/>
          <w:szCs w:val="32"/>
          <w14:textFill>
            <w14:solidFill>
              <w14:schemeClr w14:val="tx1"/>
            </w14:solidFill>
          </w14:textFill>
        </w:rPr>
        <w:t>业务用</w:t>
      </w:r>
      <w:r>
        <w:rPr>
          <w:rFonts w:hint="eastAsia" w:ascii="仿宋_GB2312" w:eastAsia="仿宋_GB2312"/>
          <w:sz w:val="32"/>
          <w:szCs w:val="32"/>
        </w:rPr>
        <w:t>车8辆，其中：轿车1辆、越野车2辆、中型载客汽车3辆，其他用车2辆。</w:t>
      </w:r>
    </w:p>
    <w:p>
      <w:pPr>
        <w:spacing w:line="600" w:lineRule="exact"/>
        <w:ind w:firstLine="640"/>
        <w:rPr>
          <w:rFonts w:ascii="仿宋_GB2312" w:eastAsia="仿宋_GB2312"/>
          <w:sz w:val="32"/>
          <w:szCs w:val="32"/>
        </w:rPr>
      </w:pPr>
      <w:r>
        <w:rPr>
          <w:rFonts w:hint="eastAsia" w:ascii="仿宋_GB2312" w:eastAsia="仿宋_GB2312"/>
          <w:b/>
          <w:sz w:val="32"/>
          <w:szCs w:val="32"/>
        </w:rPr>
        <w:t>公务用车运行维护费支出</w:t>
      </w:r>
      <w:r>
        <w:rPr>
          <w:rFonts w:hint="eastAsia" w:ascii="仿宋_GB2312" w:eastAsia="仿宋_GB2312"/>
          <w:sz w:val="32"/>
          <w:szCs w:val="32"/>
        </w:rPr>
        <w:t>0万元。</w:t>
      </w:r>
    </w:p>
    <w:p>
      <w:pPr>
        <w:spacing w:line="600" w:lineRule="exact"/>
        <w:ind w:firstLine="64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hint="eastAsia" w:ascii="仿宋_GB2312" w:eastAsia="仿宋_GB2312"/>
          <w:sz w:val="32"/>
          <w:szCs w:val="32"/>
        </w:rPr>
        <w:t>0万元，</w:t>
      </w:r>
      <w:r>
        <w:rPr>
          <w:rStyle w:val="15"/>
          <w:rFonts w:hint="eastAsia" w:ascii="仿宋" w:hAnsi="仿宋" w:eastAsia="仿宋"/>
          <w:b w:val="0"/>
          <w:bCs/>
          <w:sz w:val="32"/>
          <w:szCs w:val="32"/>
        </w:rPr>
        <w:t>完成预算100</w:t>
      </w:r>
      <w:r>
        <w:rPr>
          <w:rStyle w:val="15"/>
          <w:rFonts w:ascii="仿宋" w:hAnsi="仿宋" w:eastAsia="仿宋"/>
          <w:b w:val="0"/>
          <w:bCs/>
          <w:sz w:val="32"/>
          <w:szCs w:val="32"/>
        </w:rPr>
        <w:t>%</w:t>
      </w:r>
      <w:r>
        <w:rPr>
          <w:rStyle w:val="15"/>
          <w:rFonts w:hint="eastAsia" w:ascii="仿宋" w:hAnsi="仿宋" w:eastAsia="仿宋"/>
          <w:b w:val="0"/>
          <w:bCs/>
          <w:sz w:val="32"/>
          <w:szCs w:val="32"/>
        </w:rPr>
        <w:t>。</w:t>
      </w:r>
      <w:r>
        <w:rPr>
          <w:rFonts w:hint="eastAsia" w:ascii="仿宋_GB2312" w:eastAsia="仿宋_GB2312"/>
          <w:sz w:val="32"/>
          <w:szCs w:val="32"/>
        </w:rPr>
        <w:t>公务接待费支出决算与</w:t>
      </w:r>
      <w:r>
        <w:rPr>
          <w:rFonts w:ascii="仿宋_GB2312" w:eastAsia="仿宋_GB2312"/>
          <w:sz w:val="32"/>
          <w:szCs w:val="32"/>
        </w:rPr>
        <w:t>20</w:t>
      </w:r>
      <w:r>
        <w:rPr>
          <w:rFonts w:hint="eastAsia" w:ascii="仿宋_GB2312" w:eastAsia="仿宋_GB2312"/>
          <w:sz w:val="32"/>
          <w:szCs w:val="32"/>
        </w:rPr>
        <w:t>20年持平。其中：</w:t>
      </w:r>
    </w:p>
    <w:p>
      <w:pPr>
        <w:spacing w:line="600" w:lineRule="exact"/>
        <w:ind w:firstLine="640"/>
        <w:rPr>
          <w:rFonts w:ascii="仿宋_GB2312" w:eastAsia="仿宋_GB2312"/>
          <w:sz w:val="32"/>
          <w:szCs w:val="32"/>
        </w:rPr>
      </w:pPr>
      <w:r>
        <w:rPr>
          <w:rFonts w:hint="eastAsia" w:ascii="仿宋" w:hAnsi="仿宋" w:eastAsia="仿宋"/>
          <w:b/>
          <w:sz w:val="32"/>
          <w:szCs w:val="32"/>
        </w:rPr>
        <w:t>国内公务接待支出0</w:t>
      </w:r>
      <w:r>
        <w:rPr>
          <w:rFonts w:hint="eastAsia" w:ascii="仿宋_GB2312" w:eastAsia="仿宋_GB2312"/>
          <w:sz w:val="32"/>
          <w:szCs w:val="32"/>
        </w:rPr>
        <w:t>万元。国内公务接待0批次，0人次（不包括陪同人员），共计支出0万元。</w:t>
      </w:r>
    </w:p>
    <w:p>
      <w:pPr>
        <w:spacing w:line="600" w:lineRule="exact"/>
        <w:ind w:firstLine="643" w:firstLineChars="200"/>
        <w:rPr>
          <w:rFonts w:ascii="仿宋_GB2312" w:eastAsia="仿宋_GB2312"/>
          <w:sz w:val="32"/>
          <w:szCs w:val="32"/>
        </w:rPr>
      </w:pPr>
      <w:r>
        <w:rPr>
          <w:rFonts w:hint="eastAsia" w:ascii="仿宋" w:hAnsi="仿宋" w:eastAsia="仿宋"/>
          <w:b/>
          <w:sz w:val="32"/>
          <w:szCs w:val="32"/>
        </w:rPr>
        <w:t>外事接待支出</w:t>
      </w:r>
      <w:r>
        <w:rPr>
          <w:rFonts w:hint="eastAsia" w:ascii="仿宋" w:hAnsi="仿宋" w:eastAsia="仿宋"/>
          <w:sz w:val="32"/>
          <w:szCs w:val="32"/>
        </w:rPr>
        <w:t>0</w:t>
      </w:r>
      <w:r>
        <w:rPr>
          <w:rFonts w:hint="eastAsia" w:ascii="仿宋_GB2312" w:eastAsia="仿宋_GB2312"/>
          <w:sz w:val="32"/>
          <w:szCs w:val="32"/>
        </w:rPr>
        <w:t>万元，外事接待0批次，0人，共计支出0万元。</w:t>
      </w:r>
    </w:p>
    <w:p>
      <w:pPr>
        <w:spacing w:line="600" w:lineRule="exact"/>
        <w:ind w:firstLine="640"/>
        <w:rPr>
          <w:rFonts w:ascii="黑体" w:eastAsia="黑体"/>
          <w:sz w:val="32"/>
          <w:szCs w:val="32"/>
        </w:rPr>
      </w:pPr>
      <w:bookmarkStart w:id="58" w:name="_Toc15396610"/>
      <w:bookmarkStart w:id="59" w:name="_Toc15377218"/>
    </w:p>
    <w:p>
      <w:pPr>
        <w:spacing w:line="600" w:lineRule="exact"/>
        <w:ind w:firstLine="640"/>
        <w:outlineLvl w:val="1"/>
        <w:rPr>
          <w:rStyle w:val="26"/>
          <w:rFonts w:ascii="黑体" w:hAnsi="黑体" w:eastAsia="黑体"/>
        </w:rPr>
      </w:pPr>
      <w:bookmarkStart w:id="60" w:name="_Toc19424"/>
      <w:r>
        <w:rPr>
          <w:rFonts w:hint="eastAsia" w:ascii="黑体" w:eastAsia="黑体"/>
          <w:sz w:val="32"/>
          <w:szCs w:val="32"/>
        </w:rPr>
        <w:t>八、</w:t>
      </w:r>
      <w:r>
        <w:rPr>
          <w:rStyle w:val="26"/>
          <w:rFonts w:hint="eastAsia" w:ascii="黑体" w:hAnsi="黑体" w:eastAsia="黑体"/>
          <w:b w:val="0"/>
        </w:rPr>
        <w:t>政府性基金预算支出决算情况说明</w:t>
      </w:r>
      <w:bookmarkEnd w:id="58"/>
      <w:bookmarkEnd w:id="59"/>
      <w:bookmarkEnd w:id="60"/>
    </w:p>
    <w:p>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21年政府性基金预算财政拨款支出0万元。</w:t>
      </w:r>
    </w:p>
    <w:p>
      <w:pPr>
        <w:spacing w:line="600" w:lineRule="exact"/>
        <w:ind w:firstLine="640"/>
        <w:rPr>
          <w:rFonts w:ascii="仿宋_GB2312" w:eastAsia="仿宋_GB2312"/>
          <w:sz w:val="32"/>
          <w:szCs w:val="32"/>
        </w:rPr>
      </w:pPr>
    </w:p>
    <w:p>
      <w:pPr>
        <w:numPr>
          <w:ilvl w:val="0"/>
          <w:numId w:val="2"/>
        </w:numPr>
        <w:spacing w:line="600" w:lineRule="exact"/>
        <w:ind w:firstLine="640"/>
        <w:outlineLvl w:val="1"/>
        <w:rPr>
          <w:rStyle w:val="26"/>
          <w:rFonts w:ascii="黑体" w:hAnsi="黑体" w:eastAsia="黑体"/>
          <w:b w:val="0"/>
        </w:rPr>
      </w:pPr>
      <w:bookmarkStart w:id="61" w:name="_Toc15396611"/>
      <w:bookmarkStart w:id="62" w:name="_Toc5163"/>
      <w:bookmarkStart w:id="63" w:name="_Toc15377219"/>
      <w:r>
        <w:rPr>
          <w:rStyle w:val="26"/>
          <w:rFonts w:hint="eastAsia" w:ascii="黑体" w:hAnsi="黑体" w:eastAsia="黑体"/>
          <w:b w:val="0"/>
        </w:rPr>
        <w:t>国有资本经营预算支出决算情况说明</w:t>
      </w:r>
      <w:bookmarkEnd w:id="61"/>
      <w:bookmarkEnd w:id="62"/>
      <w:bookmarkEnd w:id="63"/>
    </w:p>
    <w:p>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21年国有资本经营预算财政拨款支出0万元。</w:t>
      </w:r>
    </w:p>
    <w:p>
      <w:pPr>
        <w:spacing w:line="580" w:lineRule="exact"/>
        <w:jc w:val="center"/>
        <w:rPr>
          <w:rFonts w:ascii="方正小标宋简体" w:hAnsi="方正小标宋简体" w:eastAsia="方正小标宋简体" w:cs="方正小标宋简体"/>
          <w:sz w:val="44"/>
          <w:szCs w:val="44"/>
        </w:rPr>
      </w:pPr>
    </w:p>
    <w:p>
      <w:pPr>
        <w:numPr>
          <w:ilvl w:val="0"/>
          <w:numId w:val="2"/>
        </w:numPr>
        <w:spacing w:line="600" w:lineRule="exact"/>
        <w:ind w:firstLine="640"/>
        <w:outlineLvl w:val="1"/>
        <w:rPr>
          <w:rStyle w:val="26"/>
          <w:rFonts w:ascii="黑体" w:hAnsi="黑体" w:eastAsia="黑体"/>
          <w:b w:val="0"/>
        </w:rPr>
      </w:pPr>
      <w:bookmarkStart w:id="64" w:name="_Toc15377221"/>
      <w:bookmarkStart w:id="65" w:name="_Toc15396612"/>
      <w:bookmarkStart w:id="66" w:name="_Toc6932"/>
      <w:r>
        <w:rPr>
          <w:rStyle w:val="26"/>
          <w:rFonts w:hint="eastAsia" w:ascii="黑体" w:hAnsi="黑体" w:eastAsia="黑体"/>
          <w:b w:val="0"/>
        </w:rPr>
        <w:t>其他重要事项的情况说明</w:t>
      </w:r>
      <w:bookmarkEnd w:id="64"/>
      <w:bookmarkEnd w:id="65"/>
      <w:bookmarkEnd w:id="66"/>
    </w:p>
    <w:p>
      <w:pPr>
        <w:spacing w:line="600" w:lineRule="exact"/>
        <w:ind w:firstLine="643" w:firstLineChars="200"/>
        <w:outlineLvl w:val="2"/>
        <w:rPr>
          <w:rFonts w:ascii="仿宋" w:hAnsi="仿宋" w:eastAsia="仿宋"/>
          <w:sz w:val="32"/>
          <w:szCs w:val="32"/>
        </w:rPr>
      </w:pPr>
      <w:bookmarkStart w:id="67" w:name="_Toc15377222"/>
      <w:r>
        <w:rPr>
          <w:rFonts w:hint="eastAsia" w:ascii="仿宋" w:hAnsi="仿宋" w:eastAsia="仿宋"/>
          <w:b/>
          <w:sz w:val="32"/>
          <w:szCs w:val="32"/>
        </w:rPr>
        <w:t>（一）机关运行经费支出情况</w:t>
      </w:r>
      <w:bookmarkEnd w:id="67"/>
    </w:p>
    <w:p>
      <w:pPr>
        <w:spacing w:line="600" w:lineRule="exact"/>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21年，四川省广播电视科学技术研究所机关运行经费支出0万元，与</w:t>
      </w:r>
      <w:r>
        <w:rPr>
          <w:rFonts w:ascii="仿宋_GB2312" w:eastAsia="仿宋_GB2312"/>
          <w:sz w:val="32"/>
          <w:szCs w:val="32"/>
        </w:rPr>
        <w:t>20</w:t>
      </w:r>
      <w:r>
        <w:rPr>
          <w:rFonts w:hint="eastAsia" w:ascii="仿宋_GB2312" w:eastAsia="仿宋_GB2312"/>
          <w:sz w:val="32"/>
          <w:szCs w:val="32"/>
        </w:rPr>
        <w:t>20年决算数持平。</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68" w:name="_Toc15377223"/>
      <w:r>
        <w:rPr>
          <w:rFonts w:hint="eastAsia" w:ascii="仿宋" w:hAnsi="仿宋" w:eastAsia="仿宋"/>
          <w:b/>
          <w:sz w:val="32"/>
          <w:szCs w:val="32"/>
        </w:rPr>
        <w:t>（二）政府采购支出情况</w:t>
      </w:r>
      <w:bookmarkEnd w:id="68"/>
    </w:p>
    <w:p>
      <w:pPr>
        <w:spacing w:line="600" w:lineRule="exact"/>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21年，四川省广播电视科学技术研究所政府采购支出总额0万元，其中：政府采购货物支出0万元、政府采购工程支出0万元、政府采购服务支出0万元。授予中小企业合同金额0万元，占政府采购支出总额的0</w:t>
      </w:r>
      <w:r>
        <w:rPr>
          <w:rFonts w:ascii="仿宋_GB2312" w:eastAsia="仿宋_GB2312"/>
          <w:sz w:val="32"/>
          <w:szCs w:val="32"/>
        </w:rPr>
        <w:t>%</w:t>
      </w:r>
      <w:r>
        <w:rPr>
          <w:rFonts w:hint="eastAsia" w:ascii="仿宋_GB2312" w:eastAsia="仿宋_GB2312"/>
          <w:sz w:val="32"/>
          <w:szCs w:val="32"/>
        </w:rPr>
        <w:t>，其中：授予小微企业合同金额0万元，占政府采购支出总额的0</w:t>
      </w:r>
      <w:r>
        <w:rPr>
          <w:rFonts w:ascii="仿宋_GB2312" w:eastAsia="仿宋_GB2312"/>
          <w:sz w:val="32"/>
          <w:szCs w:val="32"/>
        </w:rPr>
        <w:t>%</w:t>
      </w:r>
      <w:r>
        <w:rPr>
          <w:rFonts w:hint="eastAsia" w:ascii="仿宋_GB2312" w:eastAsia="仿宋_GB2312"/>
          <w:sz w:val="32"/>
          <w:szCs w:val="32"/>
        </w:rPr>
        <w:t>。</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69" w:name="_Toc15377224"/>
      <w:r>
        <w:rPr>
          <w:rFonts w:hint="eastAsia" w:ascii="仿宋" w:hAnsi="仿宋" w:eastAsia="仿宋"/>
          <w:b/>
          <w:sz w:val="32"/>
          <w:szCs w:val="32"/>
        </w:rPr>
        <w:t>（三）国有资产占有使用情况</w:t>
      </w:r>
      <w:bookmarkEnd w:id="69"/>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w:t>
      </w:r>
      <w:r>
        <w:rPr>
          <w:rFonts w:hint="eastAsia" w:ascii="仿宋_GB2312" w:eastAsia="仿宋_GB2312"/>
          <w:sz w:val="32"/>
          <w:szCs w:val="32"/>
        </w:rPr>
        <w:t>21年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日，四川省广播电视科学技术研究所共有车辆8辆，其中：主要领导干部用车0辆、机要通信用车0辆、应急保障用车0辆、其他用车8辆，其他用车主要是用于</w:t>
      </w:r>
      <w:r>
        <w:rPr>
          <w:rFonts w:hint="eastAsia" w:ascii="仿宋_GB2312" w:hAnsi="仿宋_GB2312" w:eastAsia="仿宋_GB2312" w:cs="仿宋_GB2312"/>
          <w:sz w:val="32"/>
          <w:szCs w:val="32"/>
        </w:rPr>
        <w:t>业务用车，包括科研项目的调研及测试，应急广播、户户通的维修、技术指导服务，科技成果的推广，参与应急广播试点示范项目的实施，基层广播电视技术咨询服务等。</w:t>
      </w:r>
      <w:r>
        <w:rPr>
          <w:rFonts w:hint="eastAsia" w:ascii="仿宋_GB2312" w:eastAsia="仿宋_GB2312"/>
          <w:sz w:val="32"/>
          <w:szCs w:val="32"/>
        </w:rPr>
        <w:t>单价</w:t>
      </w:r>
      <w:r>
        <w:rPr>
          <w:rFonts w:ascii="仿宋_GB2312" w:eastAsia="仿宋_GB2312"/>
          <w:sz w:val="32"/>
          <w:szCs w:val="32"/>
        </w:rPr>
        <w:t>50</w:t>
      </w:r>
      <w:r>
        <w:rPr>
          <w:rFonts w:hint="eastAsia" w:ascii="仿宋_GB2312" w:eastAsia="仿宋_GB2312"/>
          <w:sz w:val="32"/>
          <w:szCs w:val="32"/>
        </w:rPr>
        <w:t>万元以上通用设备0台（套），单价</w:t>
      </w:r>
      <w:r>
        <w:rPr>
          <w:rFonts w:ascii="仿宋_GB2312" w:eastAsia="仿宋_GB2312"/>
          <w:sz w:val="32"/>
          <w:szCs w:val="32"/>
        </w:rPr>
        <w:t>100</w:t>
      </w:r>
      <w:r>
        <w:rPr>
          <w:rFonts w:hint="eastAsia" w:ascii="仿宋_GB2312" w:eastAsia="仿宋_GB2312"/>
          <w:sz w:val="32"/>
          <w:szCs w:val="32"/>
        </w:rPr>
        <w:t>万元以上专用设备0台（套）。</w:t>
      </w:r>
    </w:p>
    <w:p>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单位在2021年度预算编制阶段，组织对广播电视科研工程技术项目等1个项目开展了预算事前绩效评估，对1个项目编制了绩效目标，预算执行过程中，选取1个项目开展绩效监控，年终执行完毕后，对1个项目开展了绩效自评，2021年特定目标类部门预算项目绩效目标自评表见附件（第四部分）。</w:t>
      </w:r>
    </w:p>
    <w:p>
      <w:pPr>
        <w:pStyle w:val="6"/>
        <w:spacing w:before="93"/>
        <w:rPr>
          <w:highlight w:val="yellow"/>
        </w:rPr>
      </w:pPr>
    </w:p>
    <w:p>
      <w:pPr>
        <w:widowControl/>
        <w:jc w:val="left"/>
        <w:rPr>
          <w:rFonts w:ascii="仿宋_GB2312" w:eastAsia="仿宋_GB2312"/>
          <w:b/>
          <w:sz w:val="32"/>
          <w:szCs w:val="32"/>
        </w:rPr>
      </w:pPr>
      <w:r>
        <w:rPr>
          <w:rFonts w:ascii="仿宋_GB2312" w:eastAsia="仿宋_GB2312"/>
          <w:b/>
          <w:sz w:val="32"/>
          <w:szCs w:val="32"/>
        </w:rPr>
        <w:br w:type="page"/>
      </w:r>
    </w:p>
    <w:p>
      <w:pPr>
        <w:numPr>
          <w:ilvl w:val="0"/>
          <w:numId w:val="3"/>
        </w:numPr>
        <w:spacing w:line="600" w:lineRule="exact"/>
        <w:ind w:firstLine="660" w:firstLineChars="150"/>
        <w:jc w:val="center"/>
        <w:outlineLvl w:val="0"/>
        <w:rPr>
          <w:rStyle w:val="25"/>
          <w:rFonts w:ascii="黑体" w:hAnsi="黑体" w:eastAsia="黑体"/>
          <w:b w:val="0"/>
        </w:rPr>
      </w:pPr>
      <w:bookmarkStart w:id="70" w:name="_Toc4465"/>
      <w:bookmarkStart w:id="71" w:name="_Toc15377225"/>
      <w:bookmarkStart w:id="72" w:name="_Toc15396613"/>
      <w:r>
        <w:rPr>
          <w:rFonts w:hint="eastAsia" w:ascii="黑体" w:hAnsi="黑体" w:eastAsia="黑体"/>
          <w:sz w:val="44"/>
          <w:szCs w:val="44"/>
        </w:rPr>
        <w:t>名</w:t>
      </w:r>
      <w:r>
        <w:rPr>
          <w:rStyle w:val="25"/>
          <w:rFonts w:hint="eastAsia" w:ascii="黑体" w:hAnsi="黑体" w:eastAsia="黑体"/>
          <w:b w:val="0"/>
        </w:rPr>
        <w:t>词解释</w:t>
      </w:r>
      <w:bookmarkEnd w:id="70"/>
      <w:bookmarkEnd w:id="71"/>
      <w:bookmarkEnd w:id="72"/>
    </w:p>
    <w:p>
      <w:pPr>
        <w:spacing w:line="600" w:lineRule="exact"/>
        <w:jc w:val="left"/>
        <w:rPr>
          <w:rFonts w:ascii="宋体"/>
          <w:b/>
          <w:sz w:val="44"/>
          <w:szCs w:val="44"/>
        </w:rPr>
      </w:pPr>
    </w:p>
    <w:p>
      <w:pPr>
        <w:pStyle w:val="23"/>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pPr>
        <w:pStyle w:val="23"/>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w:t>
      </w:r>
      <w:r>
        <w:rPr>
          <w:rFonts w:ascii="仿宋_GB2312" w:eastAsia="仿宋_GB2312"/>
          <w:color w:val="auto"/>
          <w:sz w:val="32"/>
          <w:szCs w:val="32"/>
        </w:rPr>
        <w:t>.</w:t>
      </w:r>
      <w:r>
        <w:rPr>
          <w:rFonts w:hint="eastAsia" w:ascii="仿宋_GB2312" w:eastAsia="仿宋_GB2312"/>
          <w:color w:val="auto"/>
          <w:sz w:val="32"/>
          <w:szCs w:val="32"/>
        </w:rPr>
        <w:t>经营收入：指事业单位在专业业务活动及其辅助活动之外开展非独立核算经营活动取得的收入。</w:t>
      </w:r>
      <w:r>
        <w:rPr>
          <w:rFonts w:ascii="仿宋_GB2312" w:eastAsia="仿宋_GB2312"/>
          <w:color w:val="auto"/>
          <w:sz w:val="32"/>
          <w:szCs w:val="32"/>
        </w:rPr>
        <w:t xml:space="preserve"> </w:t>
      </w:r>
    </w:p>
    <w:p>
      <w:pPr>
        <w:pStyle w:val="23"/>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3</w:t>
      </w:r>
      <w:r>
        <w:rPr>
          <w:rFonts w:ascii="仿宋_GB2312" w:eastAsia="仿宋_GB2312"/>
          <w:color w:val="auto"/>
          <w:sz w:val="32"/>
          <w:szCs w:val="32"/>
        </w:rPr>
        <w:t>.</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pPr>
        <w:pStyle w:val="23"/>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4.年末结转和结余：指单位按有关规定结转到下年或以后年度继续使用的资金。</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w:t>
      </w:r>
      <w:r>
        <w:rPr>
          <w:rFonts w:hint="eastAsia" w:ascii="仿宋_GB2312" w:hAnsi="仿宋_GB2312" w:eastAsia="仿宋_GB2312" w:cs="仿宋_GB2312"/>
          <w:sz w:val="32"/>
          <w:szCs w:val="32"/>
        </w:rPr>
        <w:t>教育（类）进修及培训（款）培训（项）：指各部门安排的用于培训的支出。</w:t>
      </w:r>
    </w:p>
    <w:p>
      <w:pPr>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6.</w:t>
      </w:r>
      <w:r>
        <w:rPr>
          <w:rFonts w:hint="eastAsia" w:ascii="仿宋_GB2312" w:hAnsi="仿宋_GB2312" w:eastAsia="仿宋_GB2312" w:cs="仿宋_GB2312"/>
          <w:sz w:val="32"/>
          <w:szCs w:val="32"/>
        </w:rPr>
        <w:t>科学技术（类）应用研究（款）机构运行（项）：指应用研究机构的基本支出。</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7.</w:t>
      </w:r>
      <w:r>
        <w:rPr>
          <w:rFonts w:hint="eastAsia" w:ascii="仿宋_GB2312" w:hAnsi="仿宋_GB2312" w:eastAsia="仿宋_GB2312" w:cs="仿宋_GB2312"/>
          <w:sz w:val="32"/>
          <w:szCs w:val="32"/>
        </w:rPr>
        <w:t>科学技术（类）其他科学技术支出（款）其他科学技术支出（项）: 指其他用于科技方面的支出。</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8.文化旅游体育与传媒（类）广播电视（款）其他广播电视支出（项）: 指其他用于广播电视方面的支出。</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9.社会保障和就业（类）行政事业单位养老支出（款）事业单位离退休（项）: 指事业单位开支的离退休经费。</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10 .社会保障和就业（类）行政事业单位养老支出（款）机关事业单位基本养老保险缴费支出（项）: 指机关事业单位实施养老保险制度由单位缴纳的基本养老保险费支出。</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11.社会保障和就业（类）行政事业单位养老支出（款）机关事业单位职业年金缴费支出（项）: 指机关事业单位实施养老保险制度由单位缴纳的职业年金支出。</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12.社会保障和就业（类）抚恤（款）死亡抚恤（项）: 指按规定用于烈士和牺牲、病故人员家属的一次性和定期抚恤金以及丧葬补助费。</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13.卫生健康（类）行政事业单位医疗（款）事业单位医疗（项）:指财政部门安排的事业单位基本医疗保险缴费经费，未参加医疗保险的事业单位的公费医疗经费，按国家规定享受离休人员待遇的医疗经费。</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14.住房保障支出（类）住房改造支出（款）住房公积金（项）:指行政事业单位按人力资源和社会保障部、财政部规定的基本工资和津贴补贴以及规定比例为职工缴纳的住房公积金。</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15.基本支出：指为保障机构正常运转、完成日常工作任务而发生的人员支出和公用支出。</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16.项目支出：指在基本支出之外为完成特定行政任务和事业发展目标所发生的支出。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17.经营支出：指事业单位在专业业务活动及其辅助活动之外开展非独立核算经营活动发生的支出。</w:t>
      </w:r>
    </w:p>
    <w:p>
      <w:pPr>
        <w:spacing w:line="600" w:lineRule="exact"/>
        <w:rPr>
          <w:rFonts w:ascii="黑体" w:hAnsi="黑体" w:eastAsia="黑体"/>
          <w:sz w:val="44"/>
          <w:szCs w:val="44"/>
        </w:rPr>
      </w:pPr>
      <w:bookmarkStart w:id="73" w:name="_Toc15396614"/>
      <w:bookmarkStart w:id="74" w:name="_Toc15377226"/>
    </w:p>
    <w:p>
      <w:pPr>
        <w:spacing w:line="600" w:lineRule="exact"/>
        <w:outlineLvl w:val="0"/>
        <w:rPr>
          <w:rFonts w:ascii="黑体" w:hAnsi="黑体" w:eastAsia="黑体"/>
          <w:sz w:val="44"/>
          <w:szCs w:val="44"/>
        </w:rPr>
      </w:pPr>
      <w:bookmarkStart w:id="75" w:name="_Toc19905"/>
    </w:p>
    <w:p>
      <w:pPr>
        <w:spacing w:line="600" w:lineRule="exact"/>
        <w:outlineLvl w:val="0"/>
        <w:rPr>
          <w:rFonts w:ascii="黑体" w:hAnsi="黑体" w:eastAsia="黑体"/>
          <w:sz w:val="44"/>
          <w:szCs w:val="44"/>
        </w:rPr>
      </w:pPr>
    </w:p>
    <w:p>
      <w:pPr>
        <w:spacing w:line="600" w:lineRule="exact"/>
        <w:jc w:val="center"/>
        <w:outlineLvl w:val="0"/>
        <w:rPr>
          <w:rStyle w:val="25"/>
          <w:rFonts w:ascii="黑体" w:hAnsi="黑体" w:eastAsia="黑体"/>
          <w:b w:val="0"/>
        </w:rPr>
      </w:pPr>
      <w:r>
        <w:rPr>
          <w:rFonts w:hint="eastAsia" w:ascii="黑体" w:hAnsi="黑体" w:eastAsia="黑体"/>
          <w:sz w:val="44"/>
          <w:szCs w:val="44"/>
        </w:rPr>
        <w:t>第</w:t>
      </w:r>
      <w:r>
        <w:rPr>
          <w:rStyle w:val="25"/>
          <w:rFonts w:hint="eastAsia" w:ascii="黑体" w:hAnsi="黑体" w:eastAsia="黑体"/>
          <w:b w:val="0"/>
        </w:rPr>
        <w:t>四部分 附件</w:t>
      </w:r>
      <w:bookmarkEnd w:id="73"/>
      <w:bookmarkEnd w:id="75"/>
    </w:p>
    <w:p>
      <w:pPr>
        <w:spacing w:line="572" w:lineRule="exact"/>
        <w:jc w:val="left"/>
        <w:outlineLvl w:val="1"/>
        <w:rPr>
          <w:rFonts w:ascii="黑体" w:hAnsi="黑体" w:eastAsia="黑体" w:cs="黑体"/>
          <w:sz w:val="32"/>
          <w:szCs w:val="32"/>
        </w:rPr>
      </w:pPr>
      <w:bookmarkStart w:id="76" w:name="_Toc14476"/>
      <w:r>
        <w:rPr>
          <w:rFonts w:hint="eastAsia" w:ascii="黑体" w:hAnsi="黑体" w:eastAsia="黑体" w:cs="黑体"/>
          <w:sz w:val="32"/>
          <w:szCs w:val="32"/>
        </w:rPr>
        <w:t>附件</w:t>
      </w:r>
      <w:bookmarkEnd w:id="76"/>
    </w:p>
    <w:p>
      <w:pPr>
        <w:pStyle w:val="2"/>
        <w:ind w:firstLine="640"/>
        <w:rPr>
          <w:rFonts w:ascii="黑体" w:hAnsi="黑体" w:eastAsia="黑体" w:cs="黑体"/>
          <w:sz w:val="32"/>
          <w:szCs w:val="32"/>
        </w:rPr>
      </w:pPr>
    </w:p>
    <w:tbl>
      <w:tblPr>
        <w:tblStyle w:val="13"/>
        <w:tblpPr w:leftFromText="180" w:rightFromText="180" w:vertAnchor="text" w:horzAnchor="page" w:tblpX="1256" w:tblpY="221"/>
        <w:tblOverlap w:val="never"/>
        <w:tblW w:w="5765" w:type="pct"/>
        <w:tblInd w:w="0" w:type="dxa"/>
        <w:tblLayout w:type="autofit"/>
        <w:tblCellMar>
          <w:top w:w="0" w:type="dxa"/>
          <w:left w:w="108" w:type="dxa"/>
          <w:bottom w:w="0" w:type="dxa"/>
          <w:right w:w="108" w:type="dxa"/>
        </w:tblCellMar>
      </w:tblPr>
      <w:tblGrid>
        <w:gridCol w:w="1977"/>
        <w:gridCol w:w="1144"/>
        <w:gridCol w:w="1264"/>
        <w:gridCol w:w="1643"/>
        <w:gridCol w:w="1142"/>
        <w:gridCol w:w="2420"/>
        <w:gridCol w:w="236"/>
      </w:tblGrid>
      <w:tr>
        <w:tblPrEx>
          <w:tblCellMar>
            <w:top w:w="0" w:type="dxa"/>
            <w:left w:w="108" w:type="dxa"/>
            <w:bottom w:w="0" w:type="dxa"/>
            <w:right w:w="108" w:type="dxa"/>
          </w:tblCellMar>
        </w:tblPrEx>
        <w:trPr>
          <w:trHeight w:val="675" w:hRule="atLeast"/>
        </w:trPr>
        <w:tc>
          <w:tcPr>
            <w:tcW w:w="4879" w:type="pct"/>
            <w:gridSpan w:val="6"/>
            <w:tcBorders>
              <w:top w:val="nil"/>
              <w:left w:val="nil"/>
              <w:bottom w:val="nil"/>
              <w:right w:val="nil"/>
            </w:tcBorders>
            <w:shd w:val="clear" w:color="auto" w:fill="auto"/>
            <w:vAlign w:val="center"/>
          </w:tcPr>
          <w:p>
            <w:pPr>
              <w:widowControl/>
              <w:textAlignment w:val="center"/>
              <w:rPr>
                <w:rFonts w:ascii="宋体" w:hAnsi="宋体" w:cs="宋体"/>
                <w:b/>
                <w:sz w:val="32"/>
                <w:szCs w:val="32"/>
              </w:rPr>
            </w:pPr>
            <w:r>
              <w:rPr>
                <w:rFonts w:hint="eastAsia" w:ascii="宋体" w:hAnsi="宋体" w:cs="宋体"/>
                <w:b/>
                <w:sz w:val="32"/>
                <w:szCs w:val="32"/>
              </w:rPr>
              <w:t>2021年100万元以上（含）特定目标类部门预算项目绩效目标自评</w:t>
            </w:r>
          </w:p>
          <w:p>
            <w:pPr>
              <w:widowControl/>
              <w:jc w:val="center"/>
              <w:textAlignment w:val="center"/>
            </w:pPr>
            <w:r>
              <w:rPr>
                <w:rFonts w:hint="eastAsia" w:ascii="宋体" w:hAnsi="宋体" w:cs="宋体"/>
                <w:b/>
                <w:sz w:val="32"/>
                <w:szCs w:val="32"/>
              </w:rPr>
              <w:t>广播电视科研工程技术项目</w:t>
            </w:r>
          </w:p>
        </w:tc>
        <w:tc>
          <w:tcPr>
            <w:tcW w:w="120" w:type="pct"/>
            <w:tcBorders>
              <w:top w:val="nil"/>
              <w:left w:val="nil"/>
              <w:bottom w:val="nil"/>
              <w:right w:val="nil"/>
            </w:tcBorders>
            <w:shd w:val="clear" w:color="auto" w:fill="auto"/>
            <w:vAlign w:val="center"/>
          </w:tcPr>
          <w:p>
            <w:pPr>
              <w:widowControl/>
              <w:jc w:val="center"/>
              <w:textAlignment w:val="center"/>
              <w:rPr>
                <w:rFonts w:ascii="宋体" w:hAnsi="宋体" w:cs="宋体"/>
                <w:b/>
                <w:color w:val="000000"/>
                <w:kern w:val="0"/>
                <w:szCs w:val="32"/>
                <w:lang w:bidi="ar"/>
              </w:rPr>
            </w:pPr>
          </w:p>
        </w:tc>
      </w:tr>
      <w:tr>
        <w:tblPrEx>
          <w:tblCellMar>
            <w:top w:w="0" w:type="dxa"/>
            <w:left w:w="108" w:type="dxa"/>
            <w:bottom w:w="0" w:type="dxa"/>
            <w:right w:w="108" w:type="dxa"/>
          </w:tblCellMar>
        </w:tblPrEx>
        <w:trPr>
          <w:gridAfter w:val="1"/>
          <w:wAfter w:w="120" w:type="pct"/>
          <w:trHeight w:val="254" w:hRule="atLeast"/>
        </w:trPr>
        <w:tc>
          <w:tcPr>
            <w:tcW w:w="158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color w:val="000000"/>
                <w:sz w:val="24"/>
              </w:rPr>
            </w:pPr>
            <w:r>
              <w:rPr>
                <w:rFonts w:hint="eastAsia" w:ascii="宋体" w:hAnsi="宋体" w:cs="宋体"/>
                <w:color w:val="000000"/>
                <w:kern w:val="0"/>
                <w:sz w:val="24"/>
                <w:lang w:bidi="ar"/>
              </w:rPr>
              <w:t>主管部门及代码</w:t>
            </w:r>
          </w:p>
        </w:tc>
        <w:tc>
          <w:tcPr>
            <w:tcW w:w="14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color w:val="000000"/>
                <w:sz w:val="24"/>
              </w:rPr>
            </w:pPr>
            <w:r>
              <w:rPr>
                <w:rFonts w:hint="eastAsia" w:ascii="宋体" w:hAnsi="宋体" w:cs="宋体"/>
                <w:color w:val="000000"/>
                <w:sz w:val="24"/>
              </w:rPr>
              <w:t>353910</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实施</w:t>
            </w:r>
          </w:p>
          <w:p>
            <w:pPr>
              <w:widowControl/>
              <w:spacing w:line="320" w:lineRule="exact"/>
              <w:jc w:val="center"/>
              <w:textAlignment w:val="center"/>
              <w:rPr>
                <w:rFonts w:ascii="宋体" w:hAnsi="宋体" w:cs="宋体"/>
                <w:color w:val="000000"/>
                <w:sz w:val="24"/>
              </w:rPr>
            </w:pPr>
            <w:r>
              <w:rPr>
                <w:rFonts w:hint="eastAsia" w:ascii="宋体" w:hAnsi="宋体" w:cs="宋体"/>
                <w:color w:val="000000"/>
                <w:kern w:val="0"/>
                <w:sz w:val="24"/>
                <w:lang w:bidi="ar"/>
              </w:rPr>
              <w:t>单位</w:t>
            </w:r>
          </w:p>
        </w:tc>
        <w:tc>
          <w:tcPr>
            <w:tcW w:w="123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color w:val="000000"/>
                <w:sz w:val="24"/>
              </w:rPr>
            </w:pPr>
            <w:r>
              <w:rPr>
                <w:rFonts w:hint="eastAsia" w:ascii="宋体" w:hAnsi="宋体" w:cs="宋体"/>
                <w:color w:val="000000"/>
                <w:sz w:val="24"/>
              </w:rPr>
              <w:t>四川省广播电视科学技术研究所</w:t>
            </w:r>
          </w:p>
        </w:tc>
      </w:tr>
      <w:tr>
        <w:tblPrEx>
          <w:tblCellMar>
            <w:top w:w="0" w:type="dxa"/>
            <w:left w:w="108" w:type="dxa"/>
            <w:bottom w:w="0" w:type="dxa"/>
            <w:right w:w="108" w:type="dxa"/>
          </w:tblCellMar>
        </w:tblPrEx>
        <w:trPr>
          <w:gridAfter w:val="1"/>
          <w:wAfter w:w="120" w:type="pct"/>
          <w:trHeight w:val="341" w:hRule="atLeast"/>
        </w:trPr>
        <w:tc>
          <w:tcPr>
            <w:tcW w:w="158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项目预算</w:t>
            </w:r>
          </w:p>
          <w:p>
            <w:pPr>
              <w:widowControl/>
              <w:spacing w:line="32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执行情况</w:t>
            </w:r>
          </w:p>
          <w:p>
            <w:pPr>
              <w:widowControl/>
              <w:spacing w:line="320" w:lineRule="exact"/>
              <w:jc w:val="center"/>
              <w:textAlignment w:val="center"/>
              <w:rPr>
                <w:rFonts w:ascii="宋体" w:hAnsi="宋体" w:cs="宋体"/>
                <w:color w:val="000000"/>
                <w:sz w:val="24"/>
              </w:rPr>
            </w:pPr>
            <w:r>
              <w:rPr>
                <w:rFonts w:hint="eastAsia" w:ascii="宋体" w:hAnsi="宋体" w:cs="宋体"/>
                <w:color w:val="000000"/>
                <w:kern w:val="0"/>
                <w:sz w:val="24"/>
                <w:lang w:bidi="ar"/>
              </w:rPr>
              <w:t>（万元）</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color w:val="000000"/>
                <w:sz w:val="24"/>
              </w:rPr>
            </w:pPr>
            <w:r>
              <w:rPr>
                <w:rFonts w:hint="eastAsia" w:ascii="宋体" w:hAnsi="宋体" w:cs="宋体"/>
                <w:color w:val="000000"/>
                <w:kern w:val="0"/>
                <w:sz w:val="24"/>
                <w:lang w:bidi="ar"/>
              </w:rPr>
              <w:t xml:space="preserve"> 预算数：</w:t>
            </w:r>
          </w:p>
        </w:tc>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color w:val="000000"/>
                <w:sz w:val="24"/>
              </w:rPr>
            </w:pPr>
            <w:r>
              <w:rPr>
                <w:rFonts w:hint="eastAsia" w:ascii="宋体" w:hAnsi="宋体" w:cs="宋体"/>
                <w:color w:val="000000"/>
                <w:sz w:val="24"/>
              </w:rPr>
              <w:t>1200</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color w:val="000000"/>
                <w:sz w:val="24"/>
              </w:rPr>
            </w:pPr>
            <w:r>
              <w:rPr>
                <w:rFonts w:hint="eastAsia" w:ascii="宋体" w:hAnsi="宋体" w:cs="宋体"/>
                <w:color w:val="000000"/>
                <w:kern w:val="0"/>
                <w:sz w:val="24"/>
                <w:lang w:bidi="ar"/>
              </w:rPr>
              <w:t xml:space="preserve"> 执行数：</w:t>
            </w:r>
          </w:p>
        </w:tc>
        <w:tc>
          <w:tcPr>
            <w:tcW w:w="123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color w:val="000000"/>
                <w:sz w:val="24"/>
              </w:rPr>
            </w:pPr>
            <w:r>
              <w:rPr>
                <w:rFonts w:hint="eastAsia" w:ascii="宋体" w:hAnsi="宋体" w:cs="宋体"/>
                <w:color w:val="000000"/>
                <w:sz w:val="24"/>
              </w:rPr>
              <w:t>360.24</w:t>
            </w:r>
          </w:p>
        </w:tc>
      </w:tr>
      <w:tr>
        <w:tblPrEx>
          <w:tblCellMar>
            <w:top w:w="0" w:type="dxa"/>
            <w:left w:w="108" w:type="dxa"/>
            <w:bottom w:w="0" w:type="dxa"/>
            <w:right w:w="108" w:type="dxa"/>
          </w:tblCellMar>
        </w:tblPrEx>
        <w:trPr>
          <w:gridAfter w:val="1"/>
          <w:wAfter w:w="120" w:type="pct"/>
          <w:trHeight w:val="577" w:hRule="atLeast"/>
        </w:trPr>
        <w:tc>
          <w:tcPr>
            <w:tcW w:w="158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宋体" w:hAnsi="宋体" w:cs="宋体"/>
                <w:color w:val="000000"/>
                <w:sz w:val="24"/>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其中：</w:t>
            </w:r>
          </w:p>
          <w:p>
            <w:pPr>
              <w:widowControl/>
              <w:spacing w:line="320" w:lineRule="exact"/>
              <w:jc w:val="left"/>
              <w:textAlignment w:val="center"/>
              <w:rPr>
                <w:rFonts w:ascii="宋体" w:hAnsi="宋体" w:cs="宋体"/>
                <w:color w:val="000000"/>
                <w:sz w:val="24"/>
              </w:rPr>
            </w:pPr>
            <w:r>
              <w:rPr>
                <w:rFonts w:hint="eastAsia" w:ascii="宋体" w:hAnsi="宋体" w:cs="宋体"/>
                <w:color w:val="000000"/>
                <w:kern w:val="0"/>
                <w:sz w:val="24"/>
                <w:lang w:bidi="ar"/>
              </w:rPr>
              <w:t>财政拨款</w:t>
            </w:r>
          </w:p>
        </w:tc>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color w:val="000000"/>
                <w:sz w:val="24"/>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其中：</w:t>
            </w:r>
          </w:p>
          <w:p>
            <w:pPr>
              <w:widowControl/>
              <w:spacing w:line="320" w:lineRule="exact"/>
              <w:jc w:val="left"/>
              <w:textAlignment w:val="center"/>
              <w:rPr>
                <w:rFonts w:ascii="宋体" w:hAnsi="宋体" w:cs="宋体"/>
                <w:color w:val="000000"/>
                <w:sz w:val="24"/>
              </w:rPr>
            </w:pPr>
            <w:r>
              <w:rPr>
                <w:rFonts w:hint="eastAsia" w:ascii="宋体" w:hAnsi="宋体" w:cs="宋体"/>
                <w:color w:val="000000"/>
                <w:kern w:val="0"/>
                <w:sz w:val="24"/>
                <w:lang w:bidi="ar"/>
              </w:rPr>
              <w:t>财政拨款</w:t>
            </w:r>
          </w:p>
        </w:tc>
        <w:tc>
          <w:tcPr>
            <w:tcW w:w="123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ind w:firstLine="1920" w:firstLineChars="800"/>
              <w:textAlignment w:val="center"/>
              <w:rPr>
                <w:rFonts w:ascii="宋体" w:hAnsi="宋体" w:cs="宋体"/>
                <w:color w:val="000000"/>
                <w:sz w:val="24"/>
              </w:rPr>
            </w:pPr>
          </w:p>
        </w:tc>
      </w:tr>
      <w:tr>
        <w:tblPrEx>
          <w:tblCellMar>
            <w:top w:w="0" w:type="dxa"/>
            <w:left w:w="108" w:type="dxa"/>
            <w:bottom w:w="0" w:type="dxa"/>
            <w:right w:w="108" w:type="dxa"/>
          </w:tblCellMar>
        </w:tblPrEx>
        <w:trPr>
          <w:gridAfter w:val="1"/>
          <w:wAfter w:w="120" w:type="pct"/>
          <w:trHeight w:val="341" w:hRule="atLeast"/>
        </w:trPr>
        <w:tc>
          <w:tcPr>
            <w:tcW w:w="158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宋体" w:hAnsi="宋体" w:cs="宋体"/>
                <w:color w:val="000000"/>
                <w:sz w:val="24"/>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color w:val="000000"/>
                <w:sz w:val="24"/>
              </w:rPr>
            </w:pPr>
            <w:r>
              <w:rPr>
                <w:rFonts w:hint="eastAsia" w:ascii="宋体" w:hAnsi="宋体" w:cs="宋体"/>
                <w:color w:val="000000"/>
                <w:kern w:val="0"/>
                <w:sz w:val="24"/>
                <w:lang w:bidi="ar"/>
              </w:rPr>
              <w:t>其他资金</w:t>
            </w:r>
          </w:p>
        </w:tc>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color w:val="000000"/>
                <w:sz w:val="24"/>
              </w:rPr>
            </w:pPr>
            <w:r>
              <w:rPr>
                <w:rFonts w:hint="eastAsia" w:ascii="宋体" w:hAnsi="宋体" w:cs="宋体"/>
                <w:color w:val="000000"/>
                <w:sz w:val="24"/>
              </w:rPr>
              <w:t>1200</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color w:val="000000"/>
                <w:sz w:val="24"/>
              </w:rPr>
            </w:pPr>
            <w:r>
              <w:rPr>
                <w:rFonts w:hint="eastAsia" w:ascii="宋体" w:hAnsi="宋体" w:cs="宋体"/>
                <w:color w:val="000000"/>
                <w:kern w:val="0"/>
                <w:sz w:val="24"/>
                <w:lang w:bidi="ar"/>
              </w:rPr>
              <w:t>其他资金</w:t>
            </w:r>
          </w:p>
        </w:tc>
        <w:tc>
          <w:tcPr>
            <w:tcW w:w="123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color w:val="000000"/>
                <w:sz w:val="24"/>
              </w:rPr>
            </w:pPr>
            <w:r>
              <w:rPr>
                <w:rFonts w:hint="eastAsia" w:ascii="宋体" w:hAnsi="宋体" w:cs="宋体"/>
                <w:color w:val="000000"/>
                <w:sz w:val="24"/>
              </w:rPr>
              <w:t>360.24</w:t>
            </w:r>
          </w:p>
        </w:tc>
      </w:tr>
      <w:tr>
        <w:tblPrEx>
          <w:tblCellMar>
            <w:top w:w="0" w:type="dxa"/>
            <w:left w:w="108" w:type="dxa"/>
            <w:bottom w:w="0" w:type="dxa"/>
            <w:right w:w="108" w:type="dxa"/>
          </w:tblCellMar>
        </w:tblPrEx>
        <w:trPr>
          <w:gridAfter w:val="1"/>
          <w:wAfter w:w="120" w:type="pct"/>
          <w:trHeight w:val="217" w:hRule="atLeast"/>
        </w:trPr>
        <w:tc>
          <w:tcPr>
            <w:tcW w:w="10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年度总体目标</w:t>
            </w:r>
          </w:p>
          <w:p>
            <w:pPr>
              <w:widowControl/>
              <w:spacing w:line="320" w:lineRule="exact"/>
              <w:jc w:val="center"/>
              <w:textAlignment w:val="center"/>
              <w:rPr>
                <w:rFonts w:ascii="宋体" w:hAnsi="宋体" w:cs="宋体"/>
                <w:color w:val="000000"/>
                <w:sz w:val="24"/>
              </w:rPr>
            </w:pPr>
            <w:r>
              <w:rPr>
                <w:rFonts w:hint="eastAsia" w:ascii="宋体" w:hAnsi="宋体" w:cs="宋体"/>
                <w:color w:val="000000"/>
                <w:kern w:val="0"/>
                <w:sz w:val="24"/>
                <w:lang w:bidi="ar"/>
              </w:rPr>
              <w:t>完成情况</w:t>
            </w:r>
          </w:p>
        </w:tc>
        <w:tc>
          <w:tcPr>
            <w:tcW w:w="20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color w:val="000000"/>
                <w:sz w:val="24"/>
              </w:rPr>
            </w:pPr>
            <w:r>
              <w:rPr>
                <w:rFonts w:hint="eastAsia" w:ascii="宋体" w:hAnsi="宋体" w:cs="宋体"/>
                <w:color w:val="000000"/>
                <w:kern w:val="0"/>
                <w:sz w:val="24"/>
                <w:lang w:bidi="ar"/>
              </w:rPr>
              <w:t>预期目标</w:t>
            </w:r>
          </w:p>
        </w:tc>
        <w:tc>
          <w:tcPr>
            <w:tcW w:w="18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color w:val="000000"/>
                <w:sz w:val="24"/>
              </w:rPr>
            </w:pPr>
            <w:r>
              <w:rPr>
                <w:rFonts w:hint="eastAsia" w:ascii="宋体" w:hAnsi="宋体" w:cs="宋体"/>
                <w:color w:val="000000"/>
                <w:kern w:val="0"/>
                <w:sz w:val="24"/>
                <w:lang w:bidi="ar"/>
              </w:rPr>
              <w:t>目标实际完成情况</w:t>
            </w:r>
          </w:p>
        </w:tc>
      </w:tr>
      <w:tr>
        <w:tblPrEx>
          <w:tblCellMar>
            <w:top w:w="0" w:type="dxa"/>
            <w:left w:w="108" w:type="dxa"/>
            <w:bottom w:w="0" w:type="dxa"/>
            <w:right w:w="108" w:type="dxa"/>
          </w:tblCellMar>
        </w:tblPrEx>
        <w:trPr>
          <w:gridAfter w:val="1"/>
          <w:wAfter w:w="120" w:type="pct"/>
          <w:trHeight w:val="1297" w:hRule="atLeast"/>
        </w:trPr>
        <w:tc>
          <w:tcPr>
            <w:tcW w:w="1006" w:type="pct"/>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spacing w:line="320" w:lineRule="exact"/>
              <w:jc w:val="center"/>
              <w:rPr>
                <w:rFonts w:ascii="宋体" w:hAnsi="宋体" w:cs="宋体"/>
                <w:color w:val="000000"/>
                <w:sz w:val="24"/>
              </w:rPr>
            </w:pPr>
          </w:p>
        </w:tc>
        <w:tc>
          <w:tcPr>
            <w:tcW w:w="2061" w:type="pct"/>
            <w:gridSpan w:val="3"/>
            <w:tcBorders>
              <w:top w:val="single" w:color="000000" w:sz="4" w:space="0"/>
              <w:left w:val="single" w:color="000000" w:sz="4" w:space="0"/>
              <w:bottom w:val="single" w:color="auto" w:sz="4" w:space="0"/>
              <w:right w:val="single" w:color="000000" w:sz="4" w:space="0"/>
            </w:tcBorders>
            <w:shd w:val="clear" w:color="auto" w:fill="auto"/>
          </w:tcPr>
          <w:p>
            <w:pPr>
              <w:widowControl/>
              <w:spacing w:line="320" w:lineRule="exact"/>
              <w:jc w:val="left"/>
              <w:textAlignment w:val="top"/>
              <w:rPr>
                <w:rFonts w:ascii="宋体" w:hAnsi="宋体" w:cs="宋体"/>
                <w:color w:val="000000"/>
                <w:sz w:val="24"/>
              </w:rPr>
            </w:pPr>
            <w:r>
              <w:rPr>
                <w:rFonts w:hint="eastAsia" w:ascii="宋体" w:hAnsi="宋体" w:cs="宋体"/>
                <w:color w:val="000000"/>
                <w:sz w:val="24"/>
              </w:rPr>
              <w:t>1、完成科技成果转化500万元；</w:t>
            </w:r>
          </w:p>
          <w:p>
            <w:pPr>
              <w:widowControl/>
              <w:spacing w:line="320" w:lineRule="exact"/>
              <w:jc w:val="left"/>
              <w:textAlignment w:val="top"/>
              <w:rPr>
                <w:rFonts w:ascii="宋体" w:hAnsi="宋体" w:cs="宋体"/>
                <w:color w:val="000000"/>
                <w:sz w:val="24"/>
              </w:rPr>
            </w:pPr>
            <w:r>
              <w:rPr>
                <w:rFonts w:hint="eastAsia" w:ascii="宋体" w:hAnsi="宋体" w:cs="宋体"/>
                <w:color w:val="000000"/>
                <w:sz w:val="24"/>
              </w:rPr>
              <w:t>2、完成系统集成等业务200万元；</w:t>
            </w:r>
          </w:p>
          <w:p>
            <w:pPr>
              <w:widowControl/>
              <w:spacing w:line="320" w:lineRule="exact"/>
              <w:jc w:val="left"/>
              <w:textAlignment w:val="top"/>
              <w:rPr>
                <w:rFonts w:ascii="宋体" w:hAnsi="宋体" w:cs="宋体"/>
                <w:color w:val="000000"/>
                <w:sz w:val="24"/>
              </w:rPr>
            </w:pPr>
            <w:r>
              <w:rPr>
                <w:rFonts w:hint="eastAsia" w:ascii="宋体" w:hAnsi="宋体" w:cs="宋体"/>
                <w:color w:val="000000"/>
                <w:sz w:val="24"/>
              </w:rPr>
              <w:t>3、完成其他技术服务500万元。</w:t>
            </w:r>
          </w:p>
        </w:tc>
        <w:tc>
          <w:tcPr>
            <w:tcW w:w="1812" w:type="pct"/>
            <w:gridSpan w:val="2"/>
            <w:tcBorders>
              <w:top w:val="single" w:color="000000" w:sz="4" w:space="0"/>
              <w:left w:val="single" w:color="000000" w:sz="4" w:space="0"/>
              <w:bottom w:val="single" w:color="auto" w:sz="4" w:space="0"/>
              <w:right w:val="single" w:color="000000" w:sz="4" w:space="0"/>
            </w:tcBorders>
            <w:shd w:val="clear" w:color="auto" w:fill="auto"/>
          </w:tcPr>
          <w:p>
            <w:pPr>
              <w:widowControl/>
              <w:spacing w:line="320" w:lineRule="exact"/>
              <w:jc w:val="left"/>
              <w:textAlignment w:val="top"/>
              <w:rPr>
                <w:rFonts w:ascii="宋体" w:hAnsi="宋体" w:cs="宋体"/>
                <w:color w:val="FF0000"/>
                <w:sz w:val="24"/>
              </w:rPr>
            </w:pPr>
            <w:r>
              <w:rPr>
                <w:rFonts w:hint="eastAsia" w:ascii="宋体" w:hAnsi="宋体" w:cs="宋体"/>
                <w:sz w:val="24"/>
              </w:rPr>
              <w:t>1、完成科技成果转化355万元；2、完成其他技术服务94.19万元。</w:t>
            </w:r>
          </w:p>
        </w:tc>
      </w:tr>
      <w:tr>
        <w:tblPrEx>
          <w:tblCellMar>
            <w:top w:w="0" w:type="dxa"/>
            <w:left w:w="108" w:type="dxa"/>
            <w:bottom w:w="0" w:type="dxa"/>
            <w:right w:w="108" w:type="dxa"/>
          </w:tblCellMar>
        </w:tblPrEx>
        <w:trPr>
          <w:gridAfter w:val="1"/>
          <w:wAfter w:w="120" w:type="pct"/>
          <w:trHeight w:val="738" w:hRule="atLeast"/>
        </w:trPr>
        <w:tc>
          <w:tcPr>
            <w:tcW w:w="100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center"/>
              <w:rPr>
                <w:rFonts w:ascii="宋体" w:hAnsi="宋体" w:cs="宋体"/>
                <w:color w:val="000000"/>
                <w:sz w:val="24"/>
              </w:rPr>
            </w:pPr>
            <w:r>
              <w:rPr>
                <w:rFonts w:hint="eastAsia" w:ascii="宋体" w:hAnsi="宋体" w:cs="宋体"/>
                <w:color w:val="000000"/>
                <w:kern w:val="0"/>
                <w:sz w:val="24"/>
                <w:lang w:bidi="ar"/>
              </w:rPr>
              <w:t>年度绩效指标完成情况</w:t>
            </w:r>
          </w:p>
        </w:tc>
        <w:tc>
          <w:tcPr>
            <w:tcW w:w="58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一级</w:t>
            </w:r>
          </w:p>
          <w:p>
            <w:pPr>
              <w:widowControl/>
              <w:spacing w:line="320" w:lineRule="exact"/>
              <w:jc w:val="center"/>
              <w:textAlignment w:val="center"/>
              <w:rPr>
                <w:rFonts w:ascii="宋体" w:hAnsi="宋体" w:cs="宋体"/>
                <w:color w:val="000000"/>
                <w:sz w:val="24"/>
              </w:rPr>
            </w:pPr>
            <w:r>
              <w:rPr>
                <w:rFonts w:hint="eastAsia" w:ascii="宋体" w:hAnsi="宋体" w:cs="宋体"/>
                <w:color w:val="000000"/>
                <w:kern w:val="0"/>
                <w:sz w:val="24"/>
                <w:lang w:bidi="ar"/>
              </w:rPr>
              <w:t>指标</w:t>
            </w:r>
          </w:p>
        </w:tc>
        <w:tc>
          <w:tcPr>
            <w:tcW w:w="64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二级</w:t>
            </w:r>
          </w:p>
          <w:p>
            <w:pPr>
              <w:widowControl/>
              <w:spacing w:line="320" w:lineRule="exact"/>
              <w:jc w:val="center"/>
              <w:textAlignment w:val="center"/>
              <w:rPr>
                <w:rFonts w:ascii="宋体" w:hAnsi="宋体" w:cs="宋体"/>
                <w:color w:val="000000"/>
                <w:sz w:val="24"/>
              </w:rPr>
            </w:pPr>
            <w:r>
              <w:rPr>
                <w:rFonts w:hint="eastAsia" w:ascii="宋体" w:hAnsi="宋体" w:cs="宋体"/>
                <w:color w:val="000000"/>
                <w:kern w:val="0"/>
                <w:sz w:val="24"/>
                <w:lang w:bidi="ar"/>
              </w:rPr>
              <w:t>指标</w:t>
            </w:r>
          </w:p>
        </w:tc>
        <w:tc>
          <w:tcPr>
            <w:tcW w:w="8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三级</w:t>
            </w:r>
          </w:p>
          <w:p>
            <w:pPr>
              <w:widowControl/>
              <w:spacing w:line="320" w:lineRule="exact"/>
              <w:jc w:val="center"/>
              <w:textAlignment w:val="center"/>
              <w:rPr>
                <w:rFonts w:ascii="宋体" w:hAnsi="宋体" w:cs="宋体"/>
                <w:color w:val="000000"/>
                <w:sz w:val="24"/>
              </w:rPr>
            </w:pPr>
            <w:r>
              <w:rPr>
                <w:rFonts w:hint="eastAsia" w:ascii="宋体" w:hAnsi="宋体" w:cs="宋体"/>
                <w:color w:val="000000"/>
                <w:kern w:val="0"/>
                <w:sz w:val="24"/>
                <w:lang w:bidi="ar"/>
              </w:rPr>
              <w:t>指标</w:t>
            </w:r>
          </w:p>
        </w:tc>
        <w:tc>
          <w:tcPr>
            <w:tcW w:w="58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center"/>
              <w:rPr>
                <w:rFonts w:ascii="宋体" w:hAnsi="宋体" w:cs="宋体"/>
                <w:color w:val="000000"/>
                <w:sz w:val="24"/>
              </w:rPr>
            </w:pPr>
            <w:r>
              <w:rPr>
                <w:rFonts w:hint="eastAsia" w:ascii="宋体" w:hAnsi="宋体" w:cs="宋体"/>
                <w:color w:val="000000"/>
                <w:kern w:val="0"/>
                <w:sz w:val="24"/>
                <w:lang w:bidi="ar"/>
              </w:rPr>
              <w:t>预期指标值</w:t>
            </w:r>
          </w:p>
        </w:tc>
        <w:tc>
          <w:tcPr>
            <w:tcW w:w="123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center"/>
              <w:rPr>
                <w:rFonts w:ascii="宋体" w:hAnsi="宋体" w:cs="宋体"/>
                <w:color w:val="000000"/>
                <w:sz w:val="24"/>
              </w:rPr>
            </w:pPr>
            <w:r>
              <w:rPr>
                <w:rFonts w:hint="eastAsia" w:ascii="宋体" w:hAnsi="宋体" w:cs="宋体"/>
                <w:color w:val="000000"/>
                <w:kern w:val="0"/>
                <w:sz w:val="24"/>
                <w:lang w:bidi="ar"/>
              </w:rPr>
              <w:t>实际完成指标值</w:t>
            </w:r>
          </w:p>
        </w:tc>
      </w:tr>
      <w:tr>
        <w:tblPrEx>
          <w:tblCellMar>
            <w:top w:w="0" w:type="dxa"/>
            <w:left w:w="108" w:type="dxa"/>
            <w:bottom w:w="0" w:type="dxa"/>
            <w:right w:w="108" w:type="dxa"/>
          </w:tblCellMar>
        </w:tblPrEx>
        <w:trPr>
          <w:gridAfter w:val="1"/>
          <w:wAfter w:w="120" w:type="pct"/>
          <w:trHeight w:val="1050" w:hRule="atLeast"/>
        </w:trPr>
        <w:tc>
          <w:tcPr>
            <w:tcW w:w="100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 w:val="24"/>
              </w:rPr>
            </w:pPr>
          </w:p>
        </w:tc>
        <w:tc>
          <w:tcPr>
            <w:tcW w:w="58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bottom"/>
              <w:rPr>
                <w:rFonts w:ascii="宋体" w:hAnsi="宋体" w:cs="宋体"/>
                <w:color w:val="000000"/>
                <w:kern w:val="0"/>
                <w:sz w:val="24"/>
                <w:lang w:bidi="ar"/>
              </w:rPr>
            </w:pPr>
            <w:r>
              <w:rPr>
                <w:rFonts w:hint="eastAsia" w:ascii="宋体" w:hAnsi="宋体" w:cs="宋体"/>
                <w:color w:val="000000"/>
                <w:kern w:val="0"/>
                <w:sz w:val="24"/>
                <w:lang w:bidi="ar"/>
              </w:rPr>
              <w:t>完成</w:t>
            </w:r>
          </w:p>
          <w:p>
            <w:pPr>
              <w:widowControl/>
              <w:spacing w:line="320" w:lineRule="exact"/>
              <w:jc w:val="center"/>
              <w:textAlignment w:val="bottom"/>
              <w:rPr>
                <w:rFonts w:ascii="宋体" w:hAnsi="宋体" w:cs="宋体"/>
                <w:color w:val="000000"/>
                <w:sz w:val="24"/>
              </w:rPr>
            </w:pPr>
            <w:r>
              <w:rPr>
                <w:rFonts w:hint="eastAsia" w:ascii="宋体" w:hAnsi="宋体" w:cs="宋体"/>
                <w:color w:val="000000"/>
                <w:kern w:val="0"/>
                <w:sz w:val="24"/>
                <w:lang w:bidi="ar"/>
              </w:rPr>
              <w:t>指标</w:t>
            </w:r>
          </w:p>
        </w:tc>
        <w:tc>
          <w:tcPr>
            <w:tcW w:w="64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bottom"/>
              <w:rPr>
                <w:rFonts w:ascii="宋体" w:hAnsi="宋体" w:cs="宋体"/>
                <w:color w:val="000000"/>
                <w:sz w:val="24"/>
              </w:rPr>
            </w:pPr>
            <w:r>
              <w:rPr>
                <w:rFonts w:hint="eastAsia" w:ascii="宋体" w:hAnsi="宋体" w:cs="宋体"/>
                <w:color w:val="000000"/>
                <w:sz w:val="24"/>
              </w:rPr>
              <w:t>数量指标</w:t>
            </w:r>
          </w:p>
        </w:tc>
        <w:tc>
          <w:tcPr>
            <w:tcW w:w="8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bottom"/>
              <w:rPr>
                <w:rFonts w:ascii="宋体" w:hAnsi="宋体" w:cs="宋体"/>
                <w:color w:val="000000"/>
                <w:sz w:val="24"/>
              </w:rPr>
            </w:pPr>
            <w:r>
              <w:rPr>
                <w:rFonts w:hint="eastAsia" w:ascii="宋体" w:hAnsi="宋体" w:cs="宋体"/>
                <w:color w:val="000000"/>
                <w:sz w:val="24"/>
              </w:rPr>
              <w:t>应急广播村村响项目推广应用</w:t>
            </w:r>
          </w:p>
        </w:tc>
        <w:tc>
          <w:tcPr>
            <w:tcW w:w="58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bottom"/>
              <w:rPr>
                <w:rFonts w:ascii="宋体" w:hAnsi="宋体" w:cs="宋体"/>
                <w:color w:val="000000"/>
                <w:sz w:val="24"/>
              </w:rPr>
            </w:pPr>
            <w:r>
              <w:rPr>
                <w:rFonts w:hint="eastAsia" w:ascii="宋体" w:hAnsi="宋体" w:cs="宋体"/>
                <w:color w:val="000000"/>
                <w:sz w:val="24"/>
              </w:rPr>
              <w:t>3个区（市）县</w:t>
            </w:r>
          </w:p>
        </w:tc>
        <w:tc>
          <w:tcPr>
            <w:tcW w:w="123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bottom"/>
              <w:rPr>
                <w:rFonts w:ascii="宋体" w:hAnsi="宋体" w:cs="宋体"/>
                <w:color w:val="000000"/>
                <w:sz w:val="24"/>
              </w:rPr>
            </w:pPr>
            <w:r>
              <w:rPr>
                <w:rFonts w:hint="eastAsia" w:ascii="宋体" w:hAnsi="宋体" w:cs="宋体"/>
                <w:color w:val="000000"/>
                <w:sz w:val="24"/>
              </w:rPr>
              <w:t>4个县级市</w:t>
            </w:r>
          </w:p>
        </w:tc>
      </w:tr>
      <w:tr>
        <w:tblPrEx>
          <w:tblCellMar>
            <w:top w:w="0" w:type="dxa"/>
            <w:left w:w="108" w:type="dxa"/>
            <w:bottom w:w="0" w:type="dxa"/>
            <w:right w:w="108" w:type="dxa"/>
          </w:tblCellMar>
        </w:tblPrEx>
        <w:trPr>
          <w:gridAfter w:val="1"/>
          <w:wAfter w:w="120" w:type="pct"/>
          <w:trHeight w:val="480" w:hRule="atLeast"/>
        </w:trPr>
        <w:tc>
          <w:tcPr>
            <w:tcW w:w="100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 w:val="24"/>
              </w:rPr>
            </w:pPr>
          </w:p>
        </w:tc>
        <w:tc>
          <w:tcPr>
            <w:tcW w:w="58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 w:val="24"/>
              </w:rPr>
            </w:pPr>
          </w:p>
        </w:tc>
        <w:tc>
          <w:tcPr>
            <w:tcW w:w="64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bottom"/>
              <w:rPr>
                <w:rFonts w:ascii="宋体" w:hAnsi="宋体" w:cs="宋体"/>
                <w:color w:val="000000"/>
                <w:kern w:val="0"/>
                <w:sz w:val="24"/>
                <w:lang w:bidi="ar"/>
              </w:rPr>
            </w:pPr>
          </w:p>
        </w:tc>
        <w:tc>
          <w:tcPr>
            <w:tcW w:w="8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bottom"/>
              <w:rPr>
                <w:rFonts w:ascii="宋体" w:hAnsi="宋体" w:cs="宋体"/>
                <w:color w:val="000000"/>
                <w:sz w:val="24"/>
              </w:rPr>
            </w:pPr>
            <w:r>
              <w:rPr>
                <w:rFonts w:hint="eastAsia" w:ascii="宋体" w:hAnsi="宋体" w:cs="宋体"/>
                <w:color w:val="000000"/>
                <w:sz w:val="24"/>
              </w:rPr>
              <w:t>完成科研项</w:t>
            </w:r>
          </w:p>
        </w:tc>
        <w:tc>
          <w:tcPr>
            <w:tcW w:w="58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bottom"/>
              <w:rPr>
                <w:rFonts w:ascii="宋体" w:hAnsi="宋体" w:cs="宋体"/>
                <w:color w:val="000000"/>
                <w:sz w:val="24"/>
              </w:rPr>
            </w:pPr>
            <w:r>
              <w:rPr>
                <w:rFonts w:hint="eastAsia" w:ascii="宋体" w:hAnsi="宋体" w:cs="宋体"/>
                <w:color w:val="000000"/>
                <w:sz w:val="24"/>
              </w:rPr>
              <w:t>2项</w:t>
            </w:r>
          </w:p>
        </w:tc>
        <w:tc>
          <w:tcPr>
            <w:tcW w:w="123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bottom"/>
              <w:rPr>
                <w:rFonts w:ascii="宋体" w:hAnsi="宋体" w:cs="宋体"/>
                <w:color w:val="000000"/>
                <w:sz w:val="24"/>
              </w:rPr>
            </w:pPr>
            <w:r>
              <w:rPr>
                <w:rFonts w:hint="eastAsia" w:ascii="宋体" w:hAnsi="宋体" w:cs="宋体"/>
                <w:color w:val="000000"/>
                <w:sz w:val="24"/>
              </w:rPr>
              <w:t>2项</w:t>
            </w:r>
          </w:p>
        </w:tc>
      </w:tr>
      <w:tr>
        <w:tblPrEx>
          <w:tblCellMar>
            <w:top w:w="0" w:type="dxa"/>
            <w:left w:w="108" w:type="dxa"/>
            <w:bottom w:w="0" w:type="dxa"/>
            <w:right w:w="108" w:type="dxa"/>
          </w:tblCellMar>
        </w:tblPrEx>
        <w:trPr>
          <w:gridAfter w:val="1"/>
          <w:wAfter w:w="120" w:type="pct"/>
          <w:trHeight w:val="780" w:hRule="atLeast"/>
        </w:trPr>
        <w:tc>
          <w:tcPr>
            <w:tcW w:w="100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 w:val="24"/>
              </w:rPr>
            </w:pPr>
          </w:p>
        </w:tc>
        <w:tc>
          <w:tcPr>
            <w:tcW w:w="58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 w:val="24"/>
              </w:rPr>
            </w:pPr>
          </w:p>
        </w:tc>
        <w:tc>
          <w:tcPr>
            <w:tcW w:w="64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bottom"/>
              <w:rPr>
                <w:rFonts w:ascii="宋体" w:hAnsi="宋体" w:cs="宋体"/>
                <w:color w:val="000000"/>
                <w:sz w:val="24"/>
              </w:rPr>
            </w:pPr>
            <w:r>
              <w:rPr>
                <w:rFonts w:hint="eastAsia" w:ascii="宋体" w:hAnsi="宋体" w:cs="宋体"/>
                <w:color w:val="000000"/>
                <w:kern w:val="0"/>
                <w:sz w:val="24"/>
                <w:lang w:bidi="ar"/>
              </w:rPr>
              <w:t>质量指标</w:t>
            </w:r>
          </w:p>
        </w:tc>
        <w:tc>
          <w:tcPr>
            <w:tcW w:w="8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bottom"/>
              <w:rPr>
                <w:rFonts w:ascii="宋体" w:hAnsi="宋体" w:cs="宋体"/>
                <w:color w:val="000000"/>
                <w:sz w:val="24"/>
              </w:rPr>
            </w:pPr>
            <w:r>
              <w:rPr>
                <w:rFonts w:hint="eastAsia" w:ascii="宋体" w:hAnsi="宋体" w:cs="宋体"/>
                <w:color w:val="000000"/>
                <w:sz w:val="24"/>
              </w:rPr>
              <w:t>完成项目</w:t>
            </w:r>
          </w:p>
        </w:tc>
        <w:tc>
          <w:tcPr>
            <w:tcW w:w="58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bottom"/>
              <w:rPr>
                <w:rFonts w:ascii="宋体" w:hAnsi="宋体" w:cs="宋体"/>
                <w:color w:val="000000"/>
                <w:sz w:val="24"/>
              </w:rPr>
            </w:pPr>
            <w:r>
              <w:rPr>
                <w:rFonts w:hint="eastAsia" w:ascii="宋体" w:hAnsi="宋体" w:cs="宋体"/>
                <w:color w:val="000000"/>
                <w:sz w:val="24"/>
              </w:rPr>
              <w:t>全部验收通过</w:t>
            </w:r>
          </w:p>
        </w:tc>
        <w:tc>
          <w:tcPr>
            <w:tcW w:w="123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bottom"/>
              <w:rPr>
                <w:rFonts w:ascii="宋体" w:hAnsi="宋体" w:cs="宋体"/>
                <w:color w:val="000000"/>
                <w:sz w:val="24"/>
              </w:rPr>
            </w:pPr>
            <w:r>
              <w:rPr>
                <w:rFonts w:hint="eastAsia" w:ascii="宋体" w:hAnsi="宋体" w:cs="宋体"/>
                <w:color w:val="000000"/>
                <w:sz w:val="24"/>
              </w:rPr>
              <w:t>全部验收通过</w:t>
            </w:r>
          </w:p>
        </w:tc>
      </w:tr>
      <w:tr>
        <w:tblPrEx>
          <w:tblCellMar>
            <w:top w:w="0" w:type="dxa"/>
            <w:left w:w="108" w:type="dxa"/>
            <w:bottom w:w="0" w:type="dxa"/>
            <w:right w:w="108" w:type="dxa"/>
          </w:tblCellMar>
        </w:tblPrEx>
        <w:trPr>
          <w:gridAfter w:val="1"/>
          <w:wAfter w:w="120" w:type="pct"/>
          <w:trHeight w:val="1100" w:hRule="atLeast"/>
        </w:trPr>
        <w:tc>
          <w:tcPr>
            <w:tcW w:w="100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 w:val="24"/>
              </w:rPr>
            </w:pPr>
          </w:p>
        </w:tc>
        <w:tc>
          <w:tcPr>
            <w:tcW w:w="58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 w:val="24"/>
              </w:rPr>
            </w:pPr>
          </w:p>
        </w:tc>
        <w:tc>
          <w:tcPr>
            <w:tcW w:w="64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bottom"/>
              <w:rPr>
                <w:rFonts w:ascii="宋体" w:hAnsi="宋体" w:cs="宋体"/>
                <w:color w:val="000000"/>
                <w:sz w:val="24"/>
              </w:rPr>
            </w:pPr>
            <w:r>
              <w:rPr>
                <w:rFonts w:hint="eastAsia" w:ascii="宋体" w:hAnsi="宋体" w:cs="宋体"/>
                <w:color w:val="000000"/>
                <w:kern w:val="0"/>
                <w:sz w:val="24"/>
                <w:lang w:bidi="ar"/>
              </w:rPr>
              <w:t>时效指标</w:t>
            </w:r>
          </w:p>
        </w:tc>
        <w:tc>
          <w:tcPr>
            <w:tcW w:w="8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bottom"/>
              <w:rPr>
                <w:rFonts w:ascii="宋体" w:hAnsi="宋体" w:cs="宋体"/>
                <w:color w:val="000000"/>
                <w:sz w:val="24"/>
              </w:rPr>
            </w:pPr>
            <w:r>
              <w:rPr>
                <w:rFonts w:hint="eastAsia" w:ascii="宋体" w:hAnsi="宋体" w:cs="宋体"/>
                <w:color w:val="000000"/>
                <w:sz w:val="24"/>
              </w:rPr>
              <w:t>提供广播电视有效传播服务</w:t>
            </w:r>
          </w:p>
        </w:tc>
        <w:tc>
          <w:tcPr>
            <w:tcW w:w="58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bottom"/>
              <w:rPr>
                <w:rFonts w:ascii="宋体" w:hAnsi="宋体" w:cs="宋体"/>
                <w:color w:val="000000"/>
                <w:sz w:val="24"/>
              </w:rPr>
            </w:pPr>
            <w:r>
              <w:rPr>
                <w:rFonts w:hint="eastAsia" w:ascii="宋体" w:hAnsi="宋体" w:cs="宋体"/>
                <w:color w:val="000000"/>
                <w:sz w:val="24"/>
              </w:rPr>
              <w:t>2年以上</w:t>
            </w:r>
          </w:p>
        </w:tc>
        <w:tc>
          <w:tcPr>
            <w:tcW w:w="123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bottom"/>
              <w:rPr>
                <w:rFonts w:ascii="宋体" w:hAnsi="宋体" w:cs="宋体"/>
                <w:color w:val="000000"/>
                <w:sz w:val="24"/>
              </w:rPr>
            </w:pPr>
            <w:r>
              <w:rPr>
                <w:rFonts w:hint="eastAsia" w:ascii="宋体" w:hAnsi="宋体" w:cs="宋体"/>
                <w:color w:val="000000"/>
                <w:sz w:val="24"/>
              </w:rPr>
              <w:t>已提供1年服务</w:t>
            </w:r>
          </w:p>
        </w:tc>
      </w:tr>
      <w:tr>
        <w:tblPrEx>
          <w:tblCellMar>
            <w:top w:w="0" w:type="dxa"/>
            <w:left w:w="108" w:type="dxa"/>
            <w:bottom w:w="0" w:type="dxa"/>
            <w:right w:w="108" w:type="dxa"/>
          </w:tblCellMar>
        </w:tblPrEx>
        <w:trPr>
          <w:gridAfter w:val="1"/>
          <w:wAfter w:w="120" w:type="pct"/>
          <w:trHeight w:val="767" w:hRule="atLeast"/>
        </w:trPr>
        <w:tc>
          <w:tcPr>
            <w:tcW w:w="100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 w:val="24"/>
              </w:rPr>
            </w:pPr>
          </w:p>
        </w:tc>
        <w:tc>
          <w:tcPr>
            <w:tcW w:w="58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bottom"/>
              <w:rPr>
                <w:rFonts w:ascii="宋体" w:hAnsi="宋体" w:cs="宋体"/>
                <w:color w:val="000000"/>
                <w:kern w:val="0"/>
                <w:sz w:val="24"/>
                <w:lang w:bidi="ar"/>
              </w:rPr>
            </w:pPr>
            <w:r>
              <w:rPr>
                <w:rFonts w:hint="eastAsia" w:ascii="宋体" w:hAnsi="宋体" w:cs="宋体"/>
                <w:color w:val="000000"/>
                <w:kern w:val="0"/>
                <w:sz w:val="24"/>
                <w:lang w:bidi="ar"/>
              </w:rPr>
              <w:t>效益</w:t>
            </w:r>
          </w:p>
          <w:p>
            <w:pPr>
              <w:widowControl/>
              <w:spacing w:line="320" w:lineRule="exact"/>
              <w:jc w:val="center"/>
              <w:textAlignment w:val="bottom"/>
              <w:rPr>
                <w:rFonts w:ascii="宋体" w:hAnsi="宋体" w:cs="宋体"/>
                <w:color w:val="000000"/>
                <w:sz w:val="24"/>
              </w:rPr>
            </w:pPr>
            <w:r>
              <w:rPr>
                <w:rFonts w:hint="eastAsia" w:ascii="宋体" w:hAnsi="宋体" w:cs="宋体"/>
                <w:color w:val="000000"/>
                <w:kern w:val="0"/>
                <w:sz w:val="24"/>
                <w:lang w:bidi="ar"/>
              </w:rPr>
              <w:t>指标</w:t>
            </w:r>
          </w:p>
        </w:tc>
        <w:tc>
          <w:tcPr>
            <w:tcW w:w="64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bottom"/>
              <w:rPr>
                <w:rFonts w:ascii="宋体" w:hAnsi="宋体" w:cs="宋体"/>
                <w:color w:val="000000"/>
                <w:sz w:val="24"/>
              </w:rPr>
            </w:pPr>
            <w:r>
              <w:rPr>
                <w:rFonts w:hint="eastAsia" w:ascii="宋体" w:hAnsi="宋体" w:cs="宋体"/>
                <w:color w:val="000000"/>
                <w:kern w:val="0"/>
                <w:sz w:val="24"/>
                <w:lang w:bidi="ar"/>
              </w:rPr>
              <w:t>经济效益  指标</w:t>
            </w:r>
          </w:p>
        </w:tc>
        <w:tc>
          <w:tcPr>
            <w:tcW w:w="8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bottom"/>
              <w:rPr>
                <w:rFonts w:ascii="宋体" w:hAnsi="宋体" w:cs="宋体"/>
                <w:color w:val="000000"/>
                <w:sz w:val="24"/>
              </w:rPr>
            </w:pPr>
            <w:r>
              <w:rPr>
                <w:rFonts w:hint="eastAsia" w:ascii="宋体" w:hAnsi="宋体" w:cs="宋体"/>
                <w:color w:val="000000"/>
                <w:sz w:val="24"/>
              </w:rPr>
              <w:t>产值</w:t>
            </w:r>
          </w:p>
        </w:tc>
        <w:tc>
          <w:tcPr>
            <w:tcW w:w="58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bottom"/>
              <w:rPr>
                <w:rFonts w:ascii="宋体" w:hAnsi="宋体" w:cs="宋体"/>
                <w:color w:val="000000"/>
                <w:sz w:val="24"/>
              </w:rPr>
            </w:pPr>
            <w:r>
              <w:rPr>
                <w:rFonts w:hint="eastAsia" w:ascii="宋体" w:hAnsi="宋体" w:cs="宋体"/>
                <w:color w:val="000000"/>
                <w:sz w:val="24"/>
              </w:rPr>
              <w:t>300万元</w:t>
            </w:r>
          </w:p>
        </w:tc>
        <w:tc>
          <w:tcPr>
            <w:tcW w:w="123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bottom"/>
              <w:rPr>
                <w:rFonts w:ascii="宋体" w:hAnsi="宋体" w:cs="宋体"/>
                <w:color w:val="000000"/>
                <w:sz w:val="24"/>
              </w:rPr>
            </w:pPr>
            <w:r>
              <w:rPr>
                <w:rFonts w:hint="eastAsia" w:ascii="宋体" w:hAnsi="宋体" w:cs="宋体"/>
                <w:color w:val="000000"/>
                <w:sz w:val="24"/>
              </w:rPr>
              <w:t>410万元</w:t>
            </w:r>
          </w:p>
        </w:tc>
      </w:tr>
      <w:tr>
        <w:tblPrEx>
          <w:tblCellMar>
            <w:top w:w="0" w:type="dxa"/>
            <w:left w:w="108" w:type="dxa"/>
            <w:bottom w:w="0" w:type="dxa"/>
            <w:right w:w="108" w:type="dxa"/>
          </w:tblCellMar>
        </w:tblPrEx>
        <w:trPr>
          <w:gridAfter w:val="1"/>
          <w:wAfter w:w="120" w:type="pct"/>
          <w:trHeight w:val="857" w:hRule="atLeast"/>
        </w:trPr>
        <w:tc>
          <w:tcPr>
            <w:tcW w:w="100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 w:val="24"/>
              </w:rPr>
            </w:pPr>
          </w:p>
        </w:tc>
        <w:tc>
          <w:tcPr>
            <w:tcW w:w="58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 w:val="24"/>
              </w:rPr>
            </w:pPr>
          </w:p>
        </w:tc>
        <w:tc>
          <w:tcPr>
            <w:tcW w:w="64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bottom"/>
              <w:rPr>
                <w:rFonts w:ascii="宋体" w:hAnsi="宋体" w:cs="宋体"/>
                <w:color w:val="000000"/>
                <w:sz w:val="24"/>
              </w:rPr>
            </w:pPr>
            <w:r>
              <w:rPr>
                <w:rFonts w:hint="eastAsia" w:ascii="宋体" w:hAnsi="宋体" w:cs="宋体"/>
                <w:color w:val="000000"/>
                <w:kern w:val="0"/>
                <w:sz w:val="24"/>
                <w:lang w:bidi="ar"/>
              </w:rPr>
              <w:t>社会效益  指标</w:t>
            </w:r>
          </w:p>
        </w:tc>
        <w:tc>
          <w:tcPr>
            <w:tcW w:w="8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bottom"/>
              <w:rPr>
                <w:rFonts w:ascii="宋体" w:hAnsi="宋体" w:cs="宋体"/>
                <w:color w:val="000000"/>
                <w:sz w:val="24"/>
              </w:rPr>
            </w:pPr>
            <w:r>
              <w:rPr>
                <w:rFonts w:hint="eastAsia" w:ascii="宋体" w:hAnsi="宋体" w:cs="宋体"/>
                <w:color w:val="000000"/>
                <w:sz w:val="24"/>
              </w:rPr>
              <w:t>新增广播电视覆盖地区</w:t>
            </w:r>
          </w:p>
        </w:tc>
        <w:tc>
          <w:tcPr>
            <w:tcW w:w="58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bottom"/>
              <w:rPr>
                <w:rFonts w:ascii="宋体" w:hAnsi="宋体" w:cs="宋体"/>
                <w:color w:val="000000"/>
                <w:sz w:val="24"/>
              </w:rPr>
            </w:pPr>
            <w:r>
              <w:rPr>
                <w:rFonts w:hint="eastAsia" w:ascii="宋体" w:hAnsi="宋体" w:cs="宋体"/>
                <w:color w:val="000000"/>
                <w:sz w:val="24"/>
              </w:rPr>
              <w:t>2个县以上</w:t>
            </w:r>
          </w:p>
        </w:tc>
        <w:tc>
          <w:tcPr>
            <w:tcW w:w="123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bottom"/>
              <w:rPr>
                <w:rFonts w:ascii="宋体" w:hAnsi="宋体" w:cs="宋体"/>
                <w:color w:val="000000"/>
                <w:sz w:val="24"/>
              </w:rPr>
            </w:pPr>
            <w:r>
              <w:rPr>
                <w:rFonts w:hint="eastAsia" w:ascii="宋体" w:hAnsi="宋体" w:cs="宋体"/>
                <w:color w:val="000000"/>
                <w:sz w:val="24"/>
              </w:rPr>
              <w:t>已完成</w:t>
            </w:r>
          </w:p>
        </w:tc>
      </w:tr>
    </w:tbl>
    <w:p>
      <w:pPr>
        <w:spacing w:line="600" w:lineRule="exact"/>
        <w:jc w:val="center"/>
        <w:rPr>
          <w:rFonts w:ascii="仿宋" w:hAnsi="仿宋" w:eastAsia="仿宋"/>
        </w:rPr>
      </w:pPr>
      <w:r>
        <w:rPr>
          <w:rFonts w:ascii="宋体"/>
          <w:b/>
          <w:sz w:val="44"/>
          <w:szCs w:val="44"/>
        </w:rPr>
        <w:br w:type="page"/>
      </w:r>
      <w:bookmarkStart w:id="77" w:name="_Toc24360"/>
      <w:bookmarkStart w:id="78" w:name="_Toc15396618"/>
      <w:r>
        <w:rPr>
          <w:rFonts w:hint="eastAsia" w:ascii="黑体" w:hAnsi="黑体" w:eastAsia="黑体"/>
          <w:sz w:val="44"/>
          <w:szCs w:val="44"/>
        </w:rPr>
        <w:t>第</w:t>
      </w:r>
      <w:r>
        <w:rPr>
          <w:rStyle w:val="25"/>
          <w:rFonts w:hint="eastAsia" w:ascii="黑体" w:hAnsi="黑体" w:eastAsia="黑体"/>
          <w:b w:val="0"/>
        </w:rPr>
        <w:t>五部分 附表</w:t>
      </w:r>
      <w:bookmarkEnd w:id="74"/>
      <w:bookmarkEnd w:id="77"/>
      <w:bookmarkEnd w:id="78"/>
      <w:bookmarkStart w:id="79" w:name="_Toc15396619"/>
    </w:p>
    <w:p>
      <w:pPr>
        <w:pStyle w:val="4"/>
        <w:rPr>
          <w:rFonts w:ascii="仿宋" w:hAnsi="仿宋" w:eastAsia="仿宋"/>
        </w:rPr>
      </w:pPr>
      <w:bookmarkStart w:id="80" w:name="_Toc9167"/>
      <w:r>
        <w:rPr>
          <w:rFonts w:hint="eastAsia" w:ascii="仿宋" w:hAnsi="仿宋" w:eastAsia="仿宋"/>
          <w:b w:val="0"/>
        </w:rPr>
        <w:t>一、收</w:t>
      </w:r>
      <w:r>
        <w:rPr>
          <w:rStyle w:val="26"/>
          <w:rFonts w:hint="eastAsia" w:ascii="仿宋" w:hAnsi="仿宋" w:eastAsia="仿宋"/>
          <w:b w:val="0"/>
          <w:bCs w:val="0"/>
        </w:rPr>
        <w:t>入支出决算总表</w:t>
      </w:r>
      <w:bookmarkEnd w:id="79"/>
      <w:bookmarkEnd w:id="80"/>
    </w:p>
    <w:p>
      <w:pPr>
        <w:pStyle w:val="4"/>
        <w:rPr>
          <w:rFonts w:ascii="仿宋" w:hAnsi="仿宋" w:eastAsia="仿宋"/>
        </w:rPr>
      </w:pPr>
      <w:bookmarkStart w:id="81" w:name="_Toc15396620"/>
      <w:bookmarkStart w:id="82" w:name="_Toc9242"/>
      <w:r>
        <w:rPr>
          <w:rFonts w:hint="eastAsia" w:ascii="仿宋" w:hAnsi="仿宋" w:eastAsia="仿宋"/>
          <w:b w:val="0"/>
        </w:rPr>
        <w:t>二、收</w:t>
      </w:r>
      <w:r>
        <w:rPr>
          <w:rStyle w:val="26"/>
          <w:rFonts w:hint="eastAsia" w:ascii="仿宋" w:hAnsi="仿宋" w:eastAsia="仿宋"/>
          <w:b w:val="0"/>
          <w:bCs w:val="0"/>
        </w:rPr>
        <w:t>入决算表</w:t>
      </w:r>
      <w:bookmarkEnd w:id="81"/>
      <w:bookmarkEnd w:id="82"/>
    </w:p>
    <w:p>
      <w:pPr>
        <w:pStyle w:val="4"/>
        <w:rPr>
          <w:rFonts w:ascii="仿宋" w:hAnsi="仿宋" w:eastAsia="仿宋"/>
        </w:rPr>
      </w:pPr>
      <w:bookmarkStart w:id="83" w:name="_Toc4451"/>
      <w:bookmarkStart w:id="84" w:name="_Toc15396621"/>
      <w:r>
        <w:rPr>
          <w:rStyle w:val="26"/>
          <w:rFonts w:hint="eastAsia" w:ascii="仿宋" w:hAnsi="仿宋" w:eastAsia="仿宋"/>
          <w:b w:val="0"/>
          <w:bCs w:val="0"/>
        </w:rPr>
        <w:t>三、</w:t>
      </w:r>
      <w:r>
        <w:rPr>
          <w:rFonts w:hint="eastAsia" w:ascii="仿宋" w:hAnsi="仿宋" w:eastAsia="仿宋"/>
          <w:b w:val="0"/>
        </w:rPr>
        <w:t>支</w:t>
      </w:r>
      <w:r>
        <w:rPr>
          <w:rStyle w:val="26"/>
          <w:rFonts w:hint="eastAsia" w:ascii="仿宋" w:hAnsi="仿宋" w:eastAsia="仿宋"/>
          <w:b w:val="0"/>
          <w:bCs w:val="0"/>
        </w:rPr>
        <w:t>出决算表</w:t>
      </w:r>
      <w:bookmarkEnd w:id="83"/>
      <w:bookmarkEnd w:id="84"/>
    </w:p>
    <w:p>
      <w:pPr>
        <w:pStyle w:val="4"/>
        <w:rPr>
          <w:rFonts w:ascii="仿宋" w:hAnsi="仿宋" w:eastAsia="仿宋"/>
          <w:b w:val="0"/>
        </w:rPr>
      </w:pPr>
      <w:bookmarkStart w:id="85" w:name="_Toc13366"/>
      <w:bookmarkStart w:id="86" w:name="_Toc15396622"/>
      <w:r>
        <w:rPr>
          <w:rStyle w:val="26"/>
          <w:rFonts w:hint="eastAsia" w:ascii="仿宋" w:hAnsi="仿宋" w:eastAsia="仿宋"/>
          <w:b w:val="0"/>
          <w:bCs w:val="0"/>
        </w:rPr>
        <w:t>四、</w:t>
      </w:r>
      <w:r>
        <w:rPr>
          <w:rFonts w:hint="eastAsia" w:ascii="仿宋" w:hAnsi="仿宋" w:eastAsia="仿宋"/>
          <w:b w:val="0"/>
        </w:rPr>
        <w:t>财</w:t>
      </w:r>
      <w:r>
        <w:rPr>
          <w:rStyle w:val="26"/>
          <w:rFonts w:hint="eastAsia" w:ascii="仿宋" w:hAnsi="仿宋" w:eastAsia="仿宋"/>
          <w:b w:val="0"/>
          <w:bCs w:val="0"/>
        </w:rPr>
        <w:t>政拨款收入支出决算总表</w:t>
      </w:r>
      <w:bookmarkEnd w:id="85"/>
      <w:bookmarkEnd w:id="86"/>
    </w:p>
    <w:p>
      <w:pPr>
        <w:pStyle w:val="4"/>
        <w:rPr>
          <w:rStyle w:val="26"/>
          <w:rFonts w:ascii="仿宋" w:hAnsi="仿宋" w:eastAsia="仿宋"/>
          <w:b w:val="0"/>
          <w:bCs w:val="0"/>
        </w:rPr>
      </w:pPr>
      <w:bookmarkStart w:id="87" w:name="_Toc15396623"/>
      <w:bookmarkStart w:id="88" w:name="_Toc11301"/>
      <w:r>
        <w:rPr>
          <w:rStyle w:val="26"/>
          <w:rFonts w:hint="eastAsia" w:ascii="仿宋" w:hAnsi="仿宋" w:eastAsia="仿宋"/>
          <w:b w:val="0"/>
          <w:bCs w:val="0"/>
        </w:rPr>
        <w:t>五、</w:t>
      </w:r>
      <w:r>
        <w:rPr>
          <w:rFonts w:hint="eastAsia" w:ascii="仿宋" w:hAnsi="仿宋" w:eastAsia="仿宋"/>
          <w:b w:val="0"/>
        </w:rPr>
        <w:t>财</w:t>
      </w:r>
      <w:r>
        <w:rPr>
          <w:rStyle w:val="26"/>
          <w:rFonts w:hint="eastAsia" w:ascii="仿宋" w:hAnsi="仿宋" w:eastAsia="仿宋"/>
          <w:b w:val="0"/>
          <w:bCs w:val="0"/>
        </w:rPr>
        <w:t>政拨款支出决算明细表</w:t>
      </w:r>
      <w:bookmarkEnd w:id="87"/>
      <w:bookmarkEnd w:id="88"/>
      <w:bookmarkStart w:id="89" w:name="_Toc15396624"/>
    </w:p>
    <w:p>
      <w:pPr>
        <w:pStyle w:val="4"/>
        <w:rPr>
          <w:rFonts w:ascii="仿宋" w:hAnsi="仿宋" w:eastAsia="仿宋"/>
        </w:rPr>
      </w:pPr>
      <w:bookmarkStart w:id="90" w:name="_Toc466"/>
      <w:r>
        <w:rPr>
          <w:rStyle w:val="26"/>
          <w:rFonts w:hint="eastAsia" w:ascii="仿宋" w:hAnsi="仿宋" w:eastAsia="仿宋"/>
          <w:b w:val="0"/>
          <w:bCs w:val="0"/>
        </w:rPr>
        <w:t>六、</w:t>
      </w:r>
      <w:r>
        <w:rPr>
          <w:rFonts w:hint="eastAsia" w:ascii="仿宋" w:hAnsi="仿宋" w:eastAsia="仿宋"/>
          <w:b w:val="0"/>
        </w:rPr>
        <w:t>一</w:t>
      </w:r>
      <w:r>
        <w:rPr>
          <w:rStyle w:val="26"/>
          <w:rFonts w:hint="eastAsia" w:ascii="仿宋" w:hAnsi="仿宋" w:eastAsia="仿宋"/>
          <w:b w:val="0"/>
          <w:bCs w:val="0"/>
        </w:rPr>
        <w:t>般公共预算财政拨款支出决算表</w:t>
      </w:r>
      <w:bookmarkEnd w:id="89"/>
      <w:bookmarkEnd w:id="90"/>
    </w:p>
    <w:p>
      <w:pPr>
        <w:pStyle w:val="4"/>
        <w:rPr>
          <w:rFonts w:ascii="仿宋" w:hAnsi="仿宋" w:eastAsia="仿宋"/>
        </w:rPr>
      </w:pPr>
      <w:bookmarkStart w:id="91" w:name="_Toc15396625"/>
      <w:bookmarkStart w:id="92" w:name="_Toc27728"/>
      <w:r>
        <w:rPr>
          <w:rStyle w:val="26"/>
          <w:rFonts w:hint="eastAsia" w:ascii="仿宋" w:hAnsi="仿宋" w:eastAsia="仿宋"/>
          <w:b w:val="0"/>
          <w:bCs w:val="0"/>
        </w:rPr>
        <w:t>七、</w:t>
      </w:r>
      <w:r>
        <w:rPr>
          <w:rFonts w:hint="eastAsia" w:ascii="仿宋" w:hAnsi="仿宋" w:eastAsia="仿宋"/>
          <w:b w:val="0"/>
        </w:rPr>
        <w:t>一</w:t>
      </w:r>
      <w:r>
        <w:rPr>
          <w:rStyle w:val="26"/>
          <w:rFonts w:hint="eastAsia" w:ascii="仿宋" w:hAnsi="仿宋" w:eastAsia="仿宋"/>
          <w:b w:val="0"/>
          <w:bCs w:val="0"/>
        </w:rPr>
        <w:t>般公共预算财政拨款支出决算明细表</w:t>
      </w:r>
      <w:bookmarkEnd w:id="91"/>
      <w:bookmarkEnd w:id="92"/>
    </w:p>
    <w:p>
      <w:pPr>
        <w:pStyle w:val="4"/>
        <w:rPr>
          <w:rFonts w:ascii="仿宋" w:hAnsi="仿宋" w:eastAsia="仿宋"/>
        </w:rPr>
      </w:pPr>
      <w:bookmarkStart w:id="93" w:name="_Toc15396626"/>
      <w:bookmarkStart w:id="94" w:name="_Toc15984"/>
      <w:r>
        <w:rPr>
          <w:rStyle w:val="26"/>
          <w:rFonts w:hint="eastAsia" w:ascii="仿宋" w:hAnsi="仿宋" w:eastAsia="仿宋"/>
          <w:b w:val="0"/>
          <w:bCs w:val="0"/>
        </w:rPr>
        <w:t>八、</w:t>
      </w:r>
      <w:r>
        <w:rPr>
          <w:rFonts w:hint="eastAsia" w:ascii="仿宋" w:hAnsi="仿宋" w:eastAsia="仿宋"/>
          <w:b w:val="0"/>
        </w:rPr>
        <w:t>一</w:t>
      </w:r>
      <w:r>
        <w:rPr>
          <w:rStyle w:val="26"/>
          <w:rFonts w:hint="eastAsia" w:ascii="仿宋" w:hAnsi="仿宋" w:eastAsia="仿宋"/>
          <w:b w:val="0"/>
          <w:bCs w:val="0"/>
        </w:rPr>
        <w:t>般公共预算财政拨款基本支出决算表</w:t>
      </w:r>
      <w:bookmarkEnd w:id="93"/>
      <w:bookmarkEnd w:id="94"/>
    </w:p>
    <w:p>
      <w:pPr>
        <w:pStyle w:val="4"/>
        <w:rPr>
          <w:rFonts w:ascii="仿宋" w:hAnsi="仿宋" w:eastAsia="仿宋"/>
        </w:rPr>
      </w:pPr>
      <w:bookmarkStart w:id="95" w:name="_Toc22194"/>
      <w:bookmarkStart w:id="96" w:name="_Toc15396627"/>
      <w:r>
        <w:rPr>
          <w:rStyle w:val="26"/>
          <w:rFonts w:hint="eastAsia" w:ascii="仿宋" w:hAnsi="仿宋" w:eastAsia="仿宋"/>
          <w:b w:val="0"/>
          <w:bCs w:val="0"/>
        </w:rPr>
        <w:t>九、</w:t>
      </w:r>
      <w:r>
        <w:rPr>
          <w:rFonts w:hint="eastAsia" w:ascii="仿宋" w:hAnsi="仿宋" w:eastAsia="仿宋"/>
          <w:b w:val="0"/>
        </w:rPr>
        <w:t>一</w:t>
      </w:r>
      <w:r>
        <w:rPr>
          <w:rStyle w:val="26"/>
          <w:rFonts w:hint="eastAsia" w:ascii="仿宋" w:hAnsi="仿宋" w:eastAsia="仿宋"/>
          <w:b w:val="0"/>
          <w:bCs w:val="0"/>
        </w:rPr>
        <w:t>般公共预算财政拨款项目支出决算表</w:t>
      </w:r>
      <w:bookmarkEnd w:id="95"/>
      <w:bookmarkEnd w:id="96"/>
    </w:p>
    <w:p>
      <w:pPr>
        <w:pStyle w:val="4"/>
        <w:rPr>
          <w:rFonts w:ascii="仿宋" w:hAnsi="仿宋" w:eastAsia="仿宋"/>
        </w:rPr>
      </w:pPr>
      <w:bookmarkStart w:id="97" w:name="_Toc15396628"/>
      <w:bookmarkStart w:id="98" w:name="_Toc22456"/>
      <w:r>
        <w:rPr>
          <w:rStyle w:val="26"/>
          <w:rFonts w:hint="eastAsia" w:ascii="仿宋" w:hAnsi="仿宋" w:eastAsia="仿宋"/>
          <w:b w:val="0"/>
          <w:bCs w:val="0"/>
        </w:rPr>
        <w:t>十、</w:t>
      </w:r>
      <w:r>
        <w:rPr>
          <w:rFonts w:hint="eastAsia" w:ascii="仿宋" w:hAnsi="仿宋" w:eastAsia="仿宋"/>
          <w:b w:val="0"/>
        </w:rPr>
        <w:t>一</w:t>
      </w:r>
      <w:r>
        <w:rPr>
          <w:rStyle w:val="26"/>
          <w:rFonts w:hint="eastAsia" w:ascii="仿宋" w:hAnsi="仿宋" w:eastAsia="仿宋"/>
          <w:b w:val="0"/>
          <w:bCs w:val="0"/>
        </w:rPr>
        <w:t>般公共预算财政拨款“三公”经费支出决算表</w:t>
      </w:r>
      <w:bookmarkEnd w:id="97"/>
      <w:bookmarkEnd w:id="98"/>
    </w:p>
    <w:p>
      <w:pPr>
        <w:pStyle w:val="4"/>
        <w:rPr>
          <w:rFonts w:ascii="仿宋" w:hAnsi="仿宋" w:eastAsia="仿宋"/>
        </w:rPr>
      </w:pPr>
      <w:bookmarkStart w:id="99" w:name="_Toc22069"/>
      <w:bookmarkStart w:id="100" w:name="_Toc15396629"/>
      <w:r>
        <w:rPr>
          <w:rStyle w:val="26"/>
          <w:rFonts w:hint="eastAsia" w:ascii="仿宋" w:hAnsi="仿宋" w:eastAsia="仿宋"/>
          <w:b w:val="0"/>
          <w:bCs w:val="0"/>
        </w:rPr>
        <w:t>十一、</w:t>
      </w:r>
      <w:r>
        <w:rPr>
          <w:rFonts w:hint="eastAsia" w:ascii="仿宋" w:hAnsi="仿宋" w:eastAsia="仿宋"/>
          <w:b w:val="0"/>
        </w:rPr>
        <w:t>政</w:t>
      </w:r>
      <w:r>
        <w:rPr>
          <w:rStyle w:val="26"/>
          <w:rFonts w:hint="eastAsia" w:ascii="仿宋" w:hAnsi="仿宋" w:eastAsia="仿宋"/>
          <w:b w:val="0"/>
          <w:bCs w:val="0"/>
        </w:rPr>
        <w:t>府性基金预算财政拨款收入支出决算表</w:t>
      </w:r>
      <w:bookmarkEnd w:id="99"/>
      <w:bookmarkEnd w:id="100"/>
    </w:p>
    <w:p>
      <w:pPr>
        <w:pStyle w:val="4"/>
        <w:rPr>
          <w:rFonts w:ascii="仿宋" w:hAnsi="仿宋" w:eastAsia="仿宋"/>
        </w:rPr>
      </w:pPr>
      <w:bookmarkStart w:id="101" w:name="_Toc15396630"/>
      <w:bookmarkStart w:id="102" w:name="_Toc31042"/>
      <w:r>
        <w:rPr>
          <w:rStyle w:val="26"/>
          <w:rFonts w:hint="eastAsia" w:ascii="仿宋" w:hAnsi="仿宋" w:eastAsia="仿宋"/>
          <w:b w:val="0"/>
          <w:bCs w:val="0"/>
        </w:rPr>
        <w:t>十二、</w:t>
      </w:r>
      <w:r>
        <w:rPr>
          <w:rFonts w:hint="eastAsia" w:ascii="仿宋" w:hAnsi="仿宋" w:eastAsia="仿宋"/>
          <w:b w:val="0"/>
        </w:rPr>
        <w:t>政</w:t>
      </w:r>
      <w:r>
        <w:rPr>
          <w:rStyle w:val="26"/>
          <w:rFonts w:hint="eastAsia" w:ascii="仿宋" w:hAnsi="仿宋" w:eastAsia="仿宋"/>
          <w:b w:val="0"/>
          <w:bCs w:val="0"/>
        </w:rPr>
        <w:t>府性基金预算财政拨款“三公”经费支出决算表</w:t>
      </w:r>
      <w:bookmarkEnd w:id="101"/>
      <w:bookmarkEnd w:id="102"/>
    </w:p>
    <w:p>
      <w:pPr>
        <w:pStyle w:val="4"/>
        <w:rPr>
          <w:rStyle w:val="26"/>
          <w:rFonts w:ascii="仿宋" w:hAnsi="仿宋" w:eastAsia="仿宋"/>
          <w:b w:val="0"/>
          <w:bCs w:val="0"/>
        </w:rPr>
      </w:pPr>
      <w:bookmarkStart w:id="103" w:name="_Toc15396631"/>
      <w:bookmarkStart w:id="104" w:name="_Toc2818"/>
      <w:r>
        <w:rPr>
          <w:rStyle w:val="26"/>
          <w:rFonts w:hint="eastAsia" w:ascii="仿宋" w:hAnsi="仿宋" w:eastAsia="仿宋"/>
          <w:b w:val="0"/>
          <w:bCs w:val="0"/>
        </w:rPr>
        <w:t>十三、</w:t>
      </w:r>
      <w:r>
        <w:rPr>
          <w:rFonts w:hint="eastAsia" w:ascii="仿宋" w:hAnsi="仿宋" w:eastAsia="仿宋"/>
          <w:b w:val="0"/>
        </w:rPr>
        <w:t>国</w:t>
      </w:r>
      <w:r>
        <w:rPr>
          <w:rStyle w:val="26"/>
          <w:rFonts w:hint="eastAsia" w:ascii="仿宋" w:hAnsi="仿宋" w:eastAsia="仿宋"/>
          <w:b w:val="0"/>
          <w:bCs w:val="0"/>
        </w:rPr>
        <w:t>有资本经营预算财政拨款收入支出决算表</w:t>
      </w:r>
      <w:bookmarkEnd w:id="103"/>
      <w:bookmarkEnd w:id="104"/>
      <w:bookmarkStart w:id="105" w:name="_Toc8634"/>
    </w:p>
    <w:p>
      <w:pPr>
        <w:pStyle w:val="4"/>
        <w:rPr>
          <w:rFonts w:ascii="仿宋" w:hAnsi="仿宋" w:eastAsia="仿宋"/>
          <w:b w:val="0"/>
          <w:bCs w:val="0"/>
        </w:rPr>
      </w:pPr>
      <w:r>
        <w:rPr>
          <w:rStyle w:val="26"/>
          <w:rFonts w:hint="eastAsia" w:ascii="仿宋" w:hAnsi="仿宋" w:eastAsia="仿宋"/>
          <w:b w:val="0"/>
          <w:bCs w:val="0"/>
        </w:rPr>
        <w:t>十四、国有资本经营预算财政拨款支出决算表</w:t>
      </w:r>
      <w:bookmarkEnd w:id="105"/>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9"/>
          <w:jc w:val="center"/>
        </w:pPr>
        <w:r>
          <w:fldChar w:fldCharType="begin"/>
        </w:r>
        <w:r>
          <w:instrText xml:space="preserve">PAGE   \* MERGEFORMAT</w:instrText>
        </w:r>
        <w:r>
          <w:fldChar w:fldCharType="separate"/>
        </w:r>
        <w:r>
          <w:rPr>
            <w:lang w:val="zh-CN"/>
          </w:rPr>
          <w:t>19</w:t>
        </w:r>
        <w:r>
          <w:fldChar w:fldCharType="end"/>
        </w:r>
      </w:p>
    </w:sdtContent>
  </w:sdt>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BjNjYyMTVkZDhiMjg2Nzg4ODFhN2FhZTczMTgzMWY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42C8"/>
    <w:rsid w:val="00196687"/>
    <w:rsid w:val="001C0962"/>
    <w:rsid w:val="001D7531"/>
    <w:rsid w:val="001E737D"/>
    <w:rsid w:val="001F0592"/>
    <w:rsid w:val="001F7506"/>
    <w:rsid w:val="002006CD"/>
    <w:rsid w:val="00202B36"/>
    <w:rsid w:val="00204B7A"/>
    <w:rsid w:val="00204CDE"/>
    <w:rsid w:val="0021101A"/>
    <w:rsid w:val="00220536"/>
    <w:rsid w:val="002240A8"/>
    <w:rsid w:val="00235629"/>
    <w:rsid w:val="00260C38"/>
    <w:rsid w:val="002616C0"/>
    <w:rsid w:val="00265372"/>
    <w:rsid w:val="002662AA"/>
    <w:rsid w:val="00280496"/>
    <w:rsid w:val="0028204E"/>
    <w:rsid w:val="00294DC9"/>
    <w:rsid w:val="00295495"/>
    <w:rsid w:val="002A31DE"/>
    <w:rsid w:val="002B2613"/>
    <w:rsid w:val="002D6D05"/>
    <w:rsid w:val="002F1818"/>
    <w:rsid w:val="002F567B"/>
    <w:rsid w:val="003216A9"/>
    <w:rsid w:val="00335A74"/>
    <w:rsid w:val="00363EBC"/>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3366"/>
    <w:rsid w:val="00505A47"/>
    <w:rsid w:val="00512FDA"/>
    <w:rsid w:val="00520DA0"/>
    <w:rsid w:val="00542BAC"/>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30FB"/>
    <w:rsid w:val="006440E4"/>
    <w:rsid w:val="0066343B"/>
    <w:rsid w:val="00664777"/>
    <w:rsid w:val="00667EAC"/>
    <w:rsid w:val="006748A4"/>
    <w:rsid w:val="00681A31"/>
    <w:rsid w:val="00683E73"/>
    <w:rsid w:val="006A3141"/>
    <w:rsid w:val="006A5E34"/>
    <w:rsid w:val="006B2422"/>
    <w:rsid w:val="006B2B9A"/>
    <w:rsid w:val="006C1937"/>
    <w:rsid w:val="006F020C"/>
    <w:rsid w:val="006F66CE"/>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5CCE"/>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AE6021"/>
    <w:rsid w:val="00B03C9D"/>
    <w:rsid w:val="00B060AE"/>
    <w:rsid w:val="00B10517"/>
    <w:rsid w:val="00B14E76"/>
    <w:rsid w:val="00B161B8"/>
    <w:rsid w:val="00B20397"/>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B6A85"/>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DF7788"/>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2F9D"/>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5C571FD"/>
    <w:rsid w:val="07DC0791"/>
    <w:rsid w:val="0A2032A3"/>
    <w:rsid w:val="0B8A37D8"/>
    <w:rsid w:val="0C8E0054"/>
    <w:rsid w:val="0DD04666"/>
    <w:rsid w:val="0FA376AA"/>
    <w:rsid w:val="0FE72775"/>
    <w:rsid w:val="10C055FF"/>
    <w:rsid w:val="118107EC"/>
    <w:rsid w:val="11DD6519"/>
    <w:rsid w:val="11E23CBF"/>
    <w:rsid w:val="11F54E20"/>
    <w:rsid w:val="11F8653F"/>
    <w:rsid w:val="12E56E05"/>
    <w:rsid w:val="14533A2D"/>
    <w:rsid w:val="15C02BF3"/>
    <w:rsid w:val="165A5414"/>
    <w:rsid w:val="16BB723D"/>
    <w:rsid w:val="17A40036"/>
    <w:rsid w:val="18015F3F"/>
    <w:rsid w:val="1A341140"/>
    <w:rsid w:val="1BA50EE0"/>
    <w:rsid w:val="1BE8440E"/>
    <w:rsid w:val="1C7C772B"/>
    <w:rsid w:val="1D155CEE"/>
    <w:rsid w:val="1DAD6772"/>
    <w:rsid w:val="20F57F95"/>
    <w:rsid w:val="23056708"/>
    <w:rsid w:val="23A83C63"/>
    <w:rsid w:val="240371BF"/>
    <w:rsid w:val="248D2E59"/>
    <w:rsid w:val="25C741E6"/>
    <w:rsid w:val="273B4DEE"/>
    <w:rsid w:val="27842671"/>
    <w:rsid w:val="2892778D"/>
    <w:rsid w:val="29FD04D3"/>
    <w:rsid w:val="2ABE7A3E"/>
    <w:rsid w:val="2DD92C6B"/>
    <w:rsid w:val="2EFA178C"/>
    <w:rsid w:val="30B46D73"/>
    <w:rsid w:val="319F7F4E"/>
    <w:rsid w:val="327A2C6E"/>
    <w:rsid w:val="355C677B"/>
    <w:rsid w:val="39AE70AB"/>
    <w:rsid w:val="3A4B6C9E"/>
    <w:rsid w:val="3AAE2907"/>
    <w:rsid w:val="3B6E70E8"/>
    <w:rsid w:val="3C0C0783"/>
    <w:rsid w:val="3E516671"/>
    <w:rsid w:val="3F9F3A96"/>
    <w:rsid w:val="42572E36"/>
    <w:rsid w:val="42C83582"/>
    <w:rsid w:val="42CE4911"/>
    <w:rsid w:val="465D2F94"/>
    <w:rsid w:val="478B2DD0"/>
    <w:rsid w:val="47E77F9C"/>
    <w:rsid w:val="4832149E"/>
    <w:rsid w:val="493C27E9"/>
    <w:rsid w:val="496F39ED"/>
    <w:rsid w:val="49FF41D3"/>
    <w:rsid w:val="4A172D9D"/>
    <w:rsid w:val="4BCF5981"/>
    <w:rsid w:val="4BE068DB"/>
    <w:rsid w:val="4BF6002B"/>
    <w:rsid w:val="4ECE2238"/>
    <w:rsid w:val="4F0F71C4"/>
    <w:rsid w:val="501047BA"/>
    <w:rsid w:val="50A76ECD"/>
    <w:rsid w:val="51DB4B86"/>
    <w:rsid w:val="55333C3E"/>
    <w:rsid w:val="55E069DD"/>
    <w:rsid w:val="57062473"/>
    <w:rsid w:val="598531B1"/>
    <w:rsid w:val="5A623E64"/>
    <w:rsid w:val="5C877BB2"/>
    <w:rsid w:val="5C983175"/>
    <w:rsid w:val="5ED148DF"/>
    <w:rsid w:val="60085226"/>
    <w:rsid w:val="62DD22DA"/>
    <w:rsid w:val="644E603A"/>
    <w:rsid w:val="64C157D2"/>
    <w:rsid w:val="64CA39A1"/>
    <w:rsid w:val="67206C39"/>
    <w:rsid w:val="6977713C"/>
    <w:rsid w:val="6B124F9C"/>
    <w:rsid w:val="6C4A05C8"/>
    <w:rsid w:val="6C9828C7"/>
    <w:rsid w:val="708B3F08"/>
    <w:rsid w:val="71A843FB"/>
    <w:rsid w:val="71D376CA"/>
    <w:rsid w:val="72734D90"/>
    <w:rsid w:val="76330546"/>
    <w:rsid w:val="79C52D51"/>
    <w:rsid w:val="79E7B28D"/>
    <w:rsid w:val="7A303F8B"/>
    <w:rsid w:val="7D046ADD"/>
    <w:rsid w:val="7D133070"/>
    <w:rsid w:val="7F9F20EE"/>
    <w:rsid w:val="7FDC1E3F"/>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9"/>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6">
    <w:name w:val="Body Text"/>
    <w:basedOn w:val="1"/>
    <w:link w:val="22"/>
    <w:qFormat/>
    <w:uiPriority w:val="99"/>
    <w:pPr>
      <w:spacing w:beforeLines="30"/>
    </w:pPr>
    <w:rPr>
      <w:rFonts w:ascii="仿宋_GB2312" w:eastAsia="仿宋_GB2312"/>
      <w:kern w:val="0"/>
      <w:sz w:val="30"/>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28"/>
    <w:semiHidden/>
    <w:unhideWhenUsed/>
    <w:qFormat/>
    <w:uiPriority w:val="99"/>
    <w:rPr>
      <w:sz w:val="18"/>
      <w:szCs w:val="18"/>
    </w:rPr>
  </w:style>
  <w:style w:type="paragraph" w:styleId="9">
    <w:name w:val="footer"/>
    <w:basedOn w:val="1"/>
    <w:link w:val="20"/>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18"/>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character" w:styleId="15">
    <w:name w:val="Strong"/>
    <w:basedOn w:val="14"/>
    <w:qFormat/>
    <w:uiPriority w:val="99"/>
    <w:rPr>
      <w:b/>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customStyle="1" w:styleId="17">
    <w:name w:val="Header Char"/>
    <w:basedOn w:val="14"/>
    <w:semiHidden/>
    <w:qFormat/>
    <w:uiPriority w:val="99"/>
    <w:rPr>
      <w:rFonts w:ascii="Times New Roman" w:hAnsi="Times New Roman"/>
      <w:sz w:val="18"/>
      <w:szCs w:val="18"/>
    </w:rPr>
  </w:style>
  <w:style w:type="character" w:customStyle="1" w:styleId="18">
    <w:name w:val="页眉 字符"/>
    <w:link w:val="10"/>
    <w:semiHidden/>
    <w:qFormat/>
    <w:locked/>
    <w:uiPriority w:val="99"/>
    <w:rPr>
      <w:sz w:val="18"/>
    </w:rPr>
  </w:style>
  <w:style w:type="character" w:customStyle="1" w:styleId="19">
    <w:name w:val="Footer Char"/>
    <w:basedOn w:val="14"/>
    <w:semiHidden/>
    <w:qFormat/>
    <w:uiPriority w:val="99"/>
    <w:rPr>
      <w:rFonts w:ascii="Times New Roman" w:hAnsi="Times New Roman"/>
      <w:sz w:val="18"/>
      <w:szCs w:val="18"/>
    </w:rPr>
  </w:style>
  <w:style w:type="character" w:customStyle="1" w:styleId="20">
    <w:name w:val="页脚 字符"/>
    <w:link w:val="9"/>
    <w:qFormat/>
    <w:locked/>
    <w:uiPriority w:val="99"/>
    <w:rPr>
      <w:sz w:val="18"/>
    </w:rPr>
  </w:style>
  <w:style w:type="character" w:customStyle="1" w:styleId="21">
    <w:name w:val="Body Text Char"/>
    <w:basedOn w:val="14"/>
    <w:semiHidden/>
    <w:qFormat/>
    <w:uiPriority w:val="99"/>
    <w:rPr>
      <w:rFonts w:ascii="Times New Roman" w:hAnsi="Times New Roman"/>
      <w:szCs w:val="24"/>
    </w:rPr>
  </w:style>
  <w:style w:type="character" w:customStyle="1" w:styleId="22">
    <w:name w:val="正文文本 字符"/>
    <w:link w:val="6"/>
    <w:qFormat/>
    <w:locked/>
    <w:uiPriority w:val="99"/>
    <w:rPr>
      <w:rFonts w:ascii="仿宋_GB2312" w:hAnsi="Times New Roman" w:eastAsia="仿宋_GB2312"/>
      <w:sz w:val="24"/>
    </w:rPr>
  </w:style>
  <w:style w:type="paragraph" w:customStyle="1" w:styleId="23">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4">
    <w:name w:val="List Paragraph"/>
    <w:basedOn w:val="1"/>
    <w:qFormat/>
    <w:uiPriority w:val="34"/>
    <w:pPr>
      <w:ind w:firstLine="420" w:firstLineChars="200"/>
    </w:pPr>
  </w:style>
  <w:style w:type="character" w:customStyle="1" w:styleId="25">
    <w:name w:val="标题 1 字符"/>
    <w:basedOn w:val="14"/>
    <w:link w:val="3"/>
    <w:qFormat/>
    <w:uiPriority w:val="9"/>
    <w:rPr>
      <w:rFonts w:ascii="Times New Roman" w:hAnsi="Times New Roman"/>
      <w:b/>
      <w:bCs/>
      <w:kern w:val="44"/>
      <w:sz w:val="44"/>
      <w:szCs w:val="44"/>
    </w:rPr>
  </w:style>
  <w:style w:type="character" w:customStyle="1" w:styleId="26">
    <w:name w:val="标题 2 字符"/>
    <w:basedOn w:val="14"/>
    <w:link w:val="4"/>
    <w:qFormat/>
    <w:uiPriority w:val="9"/>
    <w:rPr>
      <w:rFonts w:asciiTheme="majorHAnsi" w:hAnsiTheme="majorHAnsi" w:eastAsiaTheme="majorEastAsia" w:cstheme="majorBidi"/>
      <w:b/>
      <w:bCs/>
      <w:kern w:val="2"/>
      <w:sz w:val="32"/>
      <w:szCs w:val="32"/>
    </w:rPr>
  </w:style>
  <w:style w:type="paragraph" w:customStyle="1" w:styleId="27">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8">
    <w:name w:val="批注框文本 字符"/>
    <w:basedOn w:val="14"/>
    <w:link w:val="8"/>
    <w:semiHidden/>
    <w:qFormat/>
    <w:uiPriority w:val="99"/>
    <w:rPr>
      <w:rFonts w:ascii="Times New Roman" w:hAnsi="Times New Roman"/>
      <w:kern w:val="2"/>
      <w:sz w:val="18"/>
      <w:szCs w:val="18"/>
    </w:rPr>
  </w:style>
  <w:style w:type="character" w:customStyle="1" w:styleId="29">
    <w:name w:val="标题 3 字符"/>
    <w:basedOn w:val="14"/>
    <w:link w:val="5"/>
    <w:qFormat/>
    <w:uiPriority w:val="9"/>
    <w:rPr>
      <w:rFonts w:ascii="Times New Roman" w:hAnsi="Times New Roman"/>
      <w:b/>
      <w:bCs/>
      <w:kern w:val="2"/>
      <w:sz w:val="32"/>
      <w:szCs w:val="32"/>
    </w:rPr>
  </w:style>
  <w:style w:type="paragraph" w:customStyle="1" w:styleId="30">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1">
    <w:name w:val="WPSOffice手动目录 1"/>
    <w:qFormat/>
    <w:uiPriority w:val="0"/>
    <w:rPr>
      <w:rFonts w:asciiTheme="minorHAnsi" w:hAnsiTheme="minorHAnsi" w:eastAsiaTheme="minorEastAsia" w:cstheme="minorBidi"/>
      <w:lang w:val="en-US" w:eastAsia="zh-CN" w:bidi="ar-SA"/>
    </w:rPr>
  </w:style>
  <w:style w:type="paragraph" w:customStyle="1" w:styleId="32">
    <w:name w:val="WPSOffice手动目录 2"/>
    <w:qFormat/>
    <w:uiPriority w:val="0"/>
    <w:pPr>
      <w:ind w:left="200" w:leftChars="200"/>
    </w:pPr>
    <w:rPr>
      <w:rFonts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E:\&#20915;&#31639;\2021&#24180;\&#26032;&#24314;%20XLSX%20&#24037;&#20316;&#3492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20915;&#31639;\2021&#24180;\&#26032;&#24314;%20XLSX%20&#24037;&#20316;&#3492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20915;&#31639;\2021&#24180;\&#26032;&#24314;%20XLSX%20&#24037;&#20316;&#34920;.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E:\&#20915;&#31639;\2021&#24180;\&#26032;&#24314;%20XLSX%20&#24037;&#20316;&#34920;.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E:\&#20915;&#31639;\2021&#24180;\&#26032;&#24314;%20XLSX%20&#24037;&#20316;&#34920;.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E:\&#20915;&#31639;\2021&#24180;\&#26032;&#24314;%20XLSX%20&#24037;&#20316;&#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收、支决算总计变动情况图（万元））</a:t>
            </a:r>
            <a:endParaRPr lang="zh-CN" altLang="en-US"/>
          </a:p>
        </c:rich>
      </c:tx>
      <c:layout/>
      <c:overlay val="0"/>
      <c:spPr>
        <a:noFill/>
        <a:ln>
          <a:noFill/>
        </a:ln>
        <a:effectLst/>
      </c:spPr>
    </c:title>
    <c:autoTitleDeleted val="0"/>
    <c:plotArea>
      <c:layout/>
      <c:barChart>
        <c:barDir val="col"/>
        <c:grouping val="clustered"/>
        <c:varyColors val="0"/>
        <c:ser>
          <c:idx val="0"/>
          <c:order val="0"/>
          <c:tx>
            <c:strRef>
              <c:f>'[新建 XLSX 工作表.xlsx]Sheet1'!$B$5</c:f>
              <c:strCache>
                <c:ptCount val="1"/>
                <c:pt idx="0">
                  <c:v>2020年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'[新建 XLSX 工作表.xlsx]Sheet1'!$C$4:$D$4</c:f>
              <c:strCache>
                <c:ptCount val="2"/>
                <c:pt idx="0">
                  <c:v>收入</c:v>
                </c:pt>
                <c:pt idx="1">
                  <c:v>支出</c:v>
                </c:pt>
              </c:strCache>
            </c:strRef>
          </c:cat>
          <c:val>
            <c:numRef>
              <c:f>'[新建 XLSX 工作表.xlsx]Sheet1'!$C$5:$D$5</c:f>
              <c:numCache>
                <c:formatCode>General</c:formatCode>
                <c:ptCount val="2"/>
                <c:pt idx="0">
                  <c:v>1077.29</c:v>
                </c:pt>
                <c:pt idx="1">
                  <c:v>1077.29</c:v>
                </c:pt>
              </c:numCache>
            </c:numRef>
          </c:val>
        </c:ser>
        <c:ser>
          <c:idx val="1"/>
          <c:order val="1"/>
          <c:tx>
            <c:strRef>
              <c:f>'[新建 XLSX 工作表.xlsx]Sheet1'!$B$6</c:f>
              <c:strCache>
                <c:ptCount val="1"/>
                <c:pt idx="0">
                  <c:v>2021年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'[新建 XLSX 工作表.xlsx]Sheet1'!$C$4:$D$4</c:f>
              <c:strCache>
                <c:ptCount val="2"/>
                <c:pt idx="0">
                  <c:v>收入</c:v>
                </c:pt>
                <c:pt idx="1">
                  <c:v>支出</c:v>
                </c:pt>
              </c:strCache>
            </c:strRef>
          </c:cat>
          <c:val>
            <c:numRef>
              <c:f>'[新建 XLSX 工作表.xlsx]Sheet1'!$C$6:$D$6</c:f>
              <c:numCache>
                <c:formatCode>General</c:formatCode>
                <c:ptCount val="2"/>
                <c:pt idx="0">
                  <c:v>891.31</c:v>
                </c:pt>
                <c:pt idx="1">
                  <c:v>891.31</c:v>
                </c:pt>
              </c:numCache>
            </c:numRef>
          </c:val>
        </c:ser>
        <c:dLbls>
          <c:showLegendKey val="0"/>
          <c:showVal val="1"/>
          <c:showCatName val="0"/>
          <c:showSerName val="0"/>
          <c:showPercent val="0"/>
          <c:showBubbleSize val="0"/>
        </c:dLbls>
        <c:gapWidth val="219"/>
        <c:overlap val="-27"/>
        <c:axId val="301242624"/>
        <c:axId val="359743872"/>
      </c:barChart>
      <c:catAx>
        <c:axId val="30124262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59743872"/>
        <c:crosses val="autoZero"/>
        <c:auto val="1"/>
        <c:lblAlgn val="ctr"/>
        <c:lblOffset val="100"/>
        <c:noMultiLvlLbl val="0"/>
      </c:catAx>
      <c:valAx>
        <c:axId val="359743872"/>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01242624"/>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收入决算结构图</a:t>
            </a:r>
            <a:endParaRPr lang="zh-CN" altLang="en-US"/>
          </a:p>
        </c:rich>
      </c:tx>
      <c:layout/>
      <c:overlay val="0"/>
      <c:spPr>
        <a:noFill/>
        <a:ln>
          <a:noFill/>
        </a:ln>
        <a:effectLst/>
      </c:spPr>
    </c:title>
    <c:autoTitleDeleted val="0"/>
    <c:plotArea>
      <c:layout/>
      <c:pieChart>
        <c:varyColors val="1"/>
        <c:ser>
          <c:idx val="0"/>
          <c:order val="0"/>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'[新建 XLSX 工作表.xlsx]Sheet1'!$C$30:$F$30</c:f>
              <c:strCache>
                <c:ptCount val="4"/>
                <c:pt idx="0">
                  <c:v>一般公共预算财政拨款收入</c:v>
                </c:pt>
                <c:pt idx="3">
                  <c:v>经营收入</c:v>
                </c:pt>
              </c:strCache>
            </c:strRef>
          </c:cat>
          <c:val>
            <c:numRef>
              <c:f>'[新建 XLSX 工作表.xlsx]Sheet1'!$C$31:$F$31</c:f>
              <c:numCache>
                <c:formatCode>General</c:formatCode>
                <c:ptCount val="4"/>
                <c:pt idx="0">
                  <c:v>610.89</c:v>
                </c:pt>
                <c:pt idx="3">
                  <c:v>360.24</c:v>
                </c:pt>
              </c:numCache>
            </c:numRef>
          </c:val>
        </c:ser>
        <c:dLbls>
          <c:showLegendKey val="0"/>
          <c:showVal val="0"/>
          <c:showCatName val="1"/>
          <c:showSerName val="0"/>
          <c:showPercent val="1"/>
          <c:showBubbleSize val="0"/>
          <c:showLeaderLines val="1"/>
        </c:dLbls>
        <c:firstSliceAng val="0"/>
      </c:pieChart>
      <c:spPr>
        <a:noFill/>
        <a:ln>
          <a:noFill/>
        </a:ln>
        <a:effectLst/>
      </c:spPr>
    </c:plotArea>
    <c:legend>
      <c:legendPos val="b"/>
      <c:legendEntry>
        <c:idx val="1"/>
        <c:delete val="1"/>
      </c:legendEntry>
      <c:legendEntry>
        <c:idx val="2"/>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支出决算结构图</a:t>
            </a:r>
            <a:endParaRPr lang="zh-CN" altLang="en-US"/>
          </a:p>
        </c:rich>
      </c:tx>
      <c:layout/>
      <c:overlay val="0"/>
      <c:spPr>
        <a:noFill/>
        <a:ln>
          <a:noFill/>
        </a:ln>
        <a:effectLst/>
      </c:spPr>
    </c:title>
    <c:autoTitleDeleted val="0"/>
    <c:plotArea>
      <c:layout/>
      <c:pieChart>
        <c:varyColors val="1"/>
        <c:ser>
          <c:idx val="0"/>
          <c:order val="0"/>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'[新建 XLSX 工作表.xlsx]Sheet1'!$C$44:$C$46</c:f>
              <c:strCache>
                <c:ptCount val="3"/>
                <c:pt idx="0">
                  <c:v>基本支出</c:v>
                </c:pt>
                <c:pt idx="1">
                  <c:v>项目支出</c:v>
                </c:pt>
                <c:pt idx="2">
                  <c:v>经营支出</c:v>
                </c:pt>
              </c:strCache>
            </c:strRef>
          </c:cat>
          <c:val>
            <c:numRef>
              <c:f>'[新建 XLSX 工作表.xlsx]Sheet1'!$D$44:$D$46</c:f>
              <c:numCache>
                <c:formatCode>General</c:formatCode>
                <c:ptCount val="3"/>
                <c:pt idx="0">
                  <c:v>253.78</c:v>
                </c:pt>
                <c:pt idx="1">
                  <c:v>357.11</c:v>
                </c:pt>
                <c:pt idx="2">
                  <c:v>506.11</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财政拨款收、支决算总计变动情况（万元）</a:t>
            </a:r>
            <a:endParaRPr lang="zh-CN" altLang="en-US"/>
          </a:p>
        </c:rich>
      </c:tx>
      <c:layout/>
      <c:overlay val="0"/>
      <c:spPr>
        <a:noFill/>
        <a:ln>
          <a:noFill/>
        </a:ln>
        <a:effectLst/>
      </c:spPr>
    </c:title>
    <c:autoTitleDeleted val="0"/>
    <c:plotArea>
      <c:layout/>
      <c:barChart>
        <c:barDir val="col"/>
        <c:grouping val="clustered"/>
        <c:varyColors val="0"/>
        <c:ser>
          <c:idx val="0"/>
          <c:order val="0"/>
          <c:tx>
            <c:strRef>
              <c:f>'[新建 XLSX 工作表.xlsx]Sheet1'!$B$63</c:f>
              <c:strCache>
                <c:ptCount val="1"/>
                <c:pt idx="0">
                  <c:v>2020年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'[新建 XLSX 工作表.xlsx]Sheet1'!$C$62:$D$62</c:f>
              <c:strCache>
                <c:ptCount val="2"/>
                <c:pt idx="0">
                  <c:v>财政拨款收入</c:v>
                </c:pt>
                <c:pt idx="1">
                  <c:v>财政拨款支出</c:v>
                </c:pt>
              </c:strCache>
            </c:strRef>
          </c:cat>
          <c:val>
            <c:numRef>
              <c:f>'[新建 XLSX 工作表.xlsx]Sheet1'!$C$63:$D$63</c:f>
              <c:numCache>
                <c:formatCode>General</c:formatCode>
                <c:ptCount val="2"/>
                <c:pt idx="0">
                  <c:v>617.24</c:v>
                </c:pt>
                <c:pt idx="1">
                  <c:v>617.24</c:v>
                </c:pt>
              </c:numCache>
            </c:numRef>
          </c:val>
        </c:ser>
        <c:ser>
          <c:idx val="1"/>
          <c:order val="1"/>
          <c:tx>
            <c:strRef>
              <c:f>'[新建 XLSX 工作表.xlsx]Sheet1'!$B$64</c:f>
              <c:strCache>
                <c:ptCount val="1"/>
                <c:pt idx="0">
                  <c:v>2021年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'[新建 XLSX 工作表.xlsx]Sheet1'!$C$62:$D$62</c:f>
              <c:strCache>
                <c:ptCount val="2"/>
                <c:pt idx="0">
                  <c:v>财政拨款收入</c:v>
                </c:pt>
                <c:pt idx="1">
                  <c:v>财政拨款支出</c:v>
                </c:pt>
              </c:strCache>
            </c:strRef>
          </c:cat>
          <c:val>
            <c:numRef>
              <c:f>'[新建 XLSX 工作表.xlsx]Sheet1'!$C$64:$D$64</c:f>
              <c:numCache>
                <c:formatCode>General</c:formatCode>
                <c:ptCount val="2"/>
                <c:pt idx="0">
                  <c:v>610.89</c:v>
                </c:pt>
                <c:pt idx="1">
                  <c:v>610.89</c:v>
                </c:pt>
              </c:numCache>
            </c:numRef>
          </c:val>
        </c:ser>
        <c:dLbls>
          <c:showLegendKey val="0"/>
          <c:showVal val="1"/>
          <c:showCatName val="0"/>
          <c:showSerName val="0"/>
          <c:showPercent val="0"/>
          <c:showBubbleSize val="0"/>
        </c:dLbls>
        <c:gapWidth val="219"/>
        <c:overlap val="-27"/>
        <c:axId val="300859392"/>
        <c:axId val="300860928"/>
      </c:barChart>
      <c:catAx>
        <c:axId val="30085939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00860928"/>
        <c:crosses val="autoZero"/>
        <c:auto val="1"/>
        <c:lblAlgn val="ctr"/>
        <c:lblOffset val="100"/>
        <c:noMultiLvlLbl val="0"/>
      </c:catAx>
      <c:valAx>
        <c:axId val="300860928"/>
        <c:scaling>
          <c:orientation val="minMax"/>
          <c:min val="0"/>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00859392"/>
        <c:crosses val="autoZero"/>
        <c:crossBetween val="between"/>
        <c:majorUnit val="100"/>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一般公共预算财政拨款支出决算变动情况（万元）</a:t>
            </a:r>
            <a:endParaRPr lang="zh-CN" altLang="en-US"/>
          </a:p>
        </c:rich>
      </c:tx>
      <c:layout/>
      <c:overlay val="0"/>
      <c:spPr>
        <a:noFill/>
        <a:ln>
          <a:noFill/>
        </a:ln>
        <a:effectLst/>
      </c:spPr>
    </c:title>
    <c:autoTitleDeleted val="0"/>
    <c:plotArea>
      <c:layout/>
      <c:barChart>
        <c:barDir val="col"/>
        <c:grouping val="clustered"/>
        <c:varyColors val="0"/>
        <c:ser>
          <c:idx val="0"/>
          <c:order val="0"/>
          <c:tx>
            <c:strRef>
              <c:f>'[新建 XLSX 工作表.xlsx]Sheet1'!$B$84:$D$84</c:f>
              <c:strCache>
                <c:ptCount val="1"/>
                <c:pt idx="0">
                  <c:v>一般公共预算财政拨款支出</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'[新建 XLSX 工作表.xlsx]Sheet1'!$E$83:$F$83</c:f>
              <c:strCache>
                <c:ptCount val="2"/>
                <c:pt idx="0">
                  <c:v>2020年</c:v>
                </c:pt>
                <c:pt idx="1">
                  <c:v>2021年</c:v>
                </c:pt>
              </c:strCache>
            </c:strRef>
          </c:cat>
          <c:val>
            <c:numRef>
              <c:f>'[新建 XLSX 工作表.xlsx]Sheet1'!$E$84:$F$84</c:f>
              <c:numCache>
                <c:formatCode>General</c:formatCode>
                <c:ptCount val="2"/>
                <c:pt idx="0">
                  <c:v>617.24</c:v>
                </c:pt>
                <c:pt idx="1">
                  <c:v>610.89</c:v>
                </c:pt>
              </c:numCache>
            </c:numRef>
          </c:val>
        </c:ser>
        <c:dLbls>
          <c:showLegendKey val="0"/>
          <c:showVal val="1"/>
          <c:showCatName val="0"/>
          <c:showSerName val="0"/>
          <c:showPercent val="0"/>
          <c:showBubbleSize val="0"/>
        </c:dLbls>
        <c:gapWidth val="219"/>
        <c:overlap val="-27"/>
        <c:axId val="301044480"/>
        <c:axId val="301047168"/>
      </c:barChart>
      <c:catAx>
        <c:axId val="30104448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01047168"/>
        <c:crosses val="autoZero"/>
        <c:auto val="1"/>
        <c:lblAlgn val="ctr"/>
        <c:lblOffset val="100"/>
        <c:noMultiLvlLbl val="0"/>
      </c:catAx>
      <c:valAx>
        <c:axId val="301047168"/>
        <c:scaling>
          <c:orientation val="minMax"/>
          <c:min val="0"/>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01044480"/>
        <c:crosses val="autoZero"/>
        <c:crossBetween val="between"/>
        <c:majorUnit val="100"/>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一般公共预算财政拨款支出决算结构（万元）</a:t>
            </a:r>
            <a:endParaRPr lang="zh-CN" altLang="en-US"/>
          </a:p>
        </c:rich>
      </c:tx>
      <c:layout/>
      <c:overlay val="0"/>
      <c:spPr>
        <a:noFill/>
        <a:ln>
          <a:noFill/>
        </a:ln>
        <a:effectLst/>
      </c:spPr>
    </c:title>
    <c:autoTitleDeleted val="0"/>
    <c:plotArea>
      <c:layout/>
      <c:pieChart>
        <c:varyColors val="1"/>
        <c:ser>
          <c:idx val="0"/>
          <c:order val="0"/>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Pt>
            <c:idx val="5"/>
            <c:bubble3D val="0"/>
            <c:spPr>
              <a:solidFill>
                <a:schemeClr val="accent6"/>
              </a:solidFill>
              <a:ln w="19050">
                <a:solidFill>
                  <a:schemeClr val="lt1"/>
                </a:solidFill>
              </a:ln>
              <a:effectLst/>
            </c:spPr>
          </c:dPt>
          <c:dLbls>
            <c:dLbl>
              <c:idx val="0"/>
              <c:layout>
                <c:manualLayout>
                  <c:x val="0.0605928140449812"/>
                  <c:y val="0.00301257595338517"/>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0397216537386545"/>
                  <c:y val="-0.00545831265338336"/>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0.00573081373066852"/>
                  <c:y val="-0.0117903450564629"/>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'[新建 XLSX 工作表.xlsx]Sheet1'!$D$102:$D$107</c:f>
              <c:strCache>
                <c:ptCount val="6"/>
                <c:pt idx="0">
                  <c:v>教育支出（类）</c:v>
                </c:pt>
                <c:pt idx="1">
                  <c:v>科学技术（类）</c:v>
                </c:pt>
                <c:pt idx="2">
                  <c:v>文化旅游体育与传媒（类）</c:v>
                </c:pt>
                <c:pt idx="3">
                  <c:v>社会保障和就业（类）</c:v>
                </c:pt>
                <c:pt idx="4">
                  <c:v>卫生健康支出（类）</c:v>
                </c:pt>
                <c:pt idx="5">
                  <c:v>住房保障支出（类）</c:v>
                </c:pt>
              </c:strCache>
            </c:strRef>
          </c:cat>
          <c:val>
            <c:numRef>
              <c:f>'[新建 XLSX 工作表.xlsx]Sheet1'!$E$102:$E$107</c:f>
              <c:numCache>
                <c:formatCode>General</c:formatCode>
                <c:ptCount val="6"/>
                <c:pt idx="0">
                  <c:v>0.5</c:v>
                </c:pt>
                <c:pt idx="1">
                  <c:v>328.4</c:v>
                </c:pt>
                <c:pt idx="2">
                  <c:v>209.01</c:v>
                </c:pt>
                <c:pt idx="3">
                  <c:v>56.77</c:v>
                </c:pt>
                <c:pt idx="4">
                  <c:v>7.12</c:v>
                </c:pt>
                <c:pt idx="5">
                  <c:v>9.09</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四川省财政厅</Company>
  <Pages>18</Pages>
  <Words>5264</Words>
  <Characters>5732</Characters>
  <Lines>55</Lines>
  <Paragraphs>15</Paragraphs>
  <TotalTime>1</TotalTime>
  <ScaleCrop>false</ScaleCrop>
  <LinksUpToDate>false</LinksUpToDate>
  <CharactersWithSpaces>5868</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2022-09-07T06:30:00Z</dcterms:created>
  <dc:creator>曹颖</dc:creator>
  <cp:lastModifiedBy>红颜心</cp:lastModifiedBy>
  <cp:lastPrinted>2022-08-06T02:23:00Z</cp:lastPrinted>
  <dcterms:modified xsi:type="dcterms:W3CDTF">2022-11-14T07:20:48Z</dcterms:modified>
  <dc:title>四川省***</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76DCC814BDFB4D2BB0B351EB99BAC7C2</vt:lpwstr>
  </property>
</Properties>
</file>